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PRIMERA SESIÓN ORDINARIA DEL AÑO 2022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 CONSEJO DIRECTIVO DEL PROGRAMA DE GUARDERÍA 24/7 DEL GOBIERNO MUNICIPAL DE GUADALAJARA, JALISCO.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la ciudad de Guadalajara, Jalisco, siendo las 10:45 horas del día 10 diez de agosto del 2022 dos mil veintidós, llevada a cabo de manera presencial en la </w:t>
      </w:r>
      <w:r w:rsidDel="00000000" w:rsidR="00000000" w:rsidRPr="00000000">
        <w:rPr>
          <w:highlight w:val="white"/>
          <w:rtl w:val="0"/>
        </w:rPr>
        <w:t xml:space="preserve">Sala de Juntas del programa Inclusión, calle 5 de Febrero #249 esquina con Analco, Col. Las Conchas</w:t>
      </w:r>
      <w:r w:rsidDel="00000000" w:rsidR="00000000" w:rsidRPr="00000000">
        <w:rPr>
          <w:rtl w:val="0"/>
        </w:rPr>
        <w:t xml:space="preserve">, se </w:t>
      </w:r>
      <w:r w:rsidDel="00000000" w:rsidR="00000000" w:rsidRPr="00000000">
        <w:rPr>
          <w:rtl w:val="0"/>
        </w:rPr>
        <w:t xml:space="preserve">reunieron el Lic</w:t>
      </w:r>
      <w:r w:rsidDel="00000000" w:rsidR="00000000" w:rsidRPr="00000000">
        <w:rPr>
          <w:rtl w:val="0"/>
        </w:rPr>
        <w:t xml:space="preserve">. Alejandro Monjarás, representante designado por la Coordinación General de Combate a la Desigualdad; la Mtra. Sarahí Morfín Contreras representante designada por la Tesorería Municipal; el Lic. Christian Soto Gómez representante designado por la Dirección de Programas Sociales Municipales; la Lic. Ana María Bazavilvazo Medina representante designada por el Sistema para el Desarrollo Integral de la Familia de Guadalajara; el Cmte. Gabriel Moreno representante designado por la Coordinación Municipal de Protección Civil Y Bomberos de Guadalajara; la Lic. Claudia Paola Pérez Higareda representante designada por la Comisaría de la Policía Preventiva Municipal de Guadalajara y el Lic. Nestor Tello en su carácter de Secretario Ejecutivo del Sistema Municipal de Protección Integral de Niñas, Niños y Adolescentes del Municipio de Guadalajara </w:t>
      </w:r>
      <w:r w:rsidDel="00000000" w:rsidR="00000000" w:rsidRPr="00000000">
        <w:rPr>
          <w:rtl w:val="0"/>
        </w:rPr>
        <w:t xml:space="preserve">para efecto de realizar la Primera Sesión Ordinaria del Consejo Directivo del programa de Guardería 24/7 del Gobierno de Guadalajara, Jalisco, (en adelante el “Consejo”) en consideración del siguiente: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Bienvenida.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Lista de asistencia y declaración de quórum legal.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Aprobación de la orden del día.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Informe de avances y actividades.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Presentación y en su caso aprobación del padrón de beneficiarios.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Asuntos Varios.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Clausura.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DESARROLLO DEL ORDEN DEL DÍA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1.- BIENVENIDA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desarrollo del primer punto del Orden del Día, toma el uso de la voz el Lic. Alejandro Monjarás, representante designado por la Coordinación General de Combate a la Desigualdad, agradeciendo por su asistencia y puntualidad.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2.- LISTA DE ASISTENCIA Y DECLARACIÓN DE QUÓRUM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conformidad con lo establecido en las Reglas de Operación ejercicio 2022 del programa “Guarderia 24/7” (en adelante las “Reglas”), se declara la existencia del quórum necesario para llevar a cabo la presente sesión por estar presentes en la reunión el Lic. Alejandro Monjarás, representante designado por la Coordinación General de Combate a la Desigualdad; la Mtra. Sarahí Morfín Contreras representante designada por la Tesorería Municipal; el Lic. Christian Soto Gómez representante designado por la Dirección de Programas Sociales Municipales; la Lic. Ana María Bazavilvazo Medina representante designada por el Sistema para el Desarrollo Integral de la Familia de Guadalajara; el Cmte. Gabriel Moreno representante designado por la Coordinación Municipal de Protección Civil Y Bomberos de Guadalajara; la Lic. Claudia Paola Pérez Higareda representante designada por la Comisaría de la Policía Preventiva Municipal de Guadalajara y el Lic. Nestor Tello en su carácter de Secretario Ejecutivo del Sistema Municipal de Protección Integral de Niñas, Niños y Adolescentes del Municipio de Guadalajara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SEGUNDO PUNTO DEL ORDEN DEL DÍA: </w:t>
      </w:r>
      <w:r w:rsidDel="00000000" w:rsidR="00000000" w:rsidRPr="00000000">
        <w:rPr>
          <w:i w:val="1"/>
          <w:rtl w:val="0"/>
        </w:rPr>
        <w:t xml:space="preserve">Considerando la presencia de 7 de los 7 integrantes del comité, se aprueba por unanimidad de los presentes la lista de asistencia y declaratoria de quórum necesario para su celebración de la presente sesión.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3.- APROBACIÓN DE LA ORDEN DEL DÍA.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Bienvenida.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Lista de asistencia y declaración de quórum legal.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Aprobación de la orden del día.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Informe de avances y actividades.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Presentación y en su caso aprobación del padrón de beneficiarios.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Asuntos Varios.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Clausura.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TERCER PUNTO DEL ORDEN DEL DÍA: </w:t>
      </w:r>
      <w:r w:rsidDel="00000000" w:rsidR="00000000" w:rsidRPr="00000000">
        <w:rPr>
          <w:i w:val="1"/>
          <w:rtl w:val="0"/>
        </w:rPr>
        <w:t xml:space="preserve">Se procede a votación y se aprueba por unanimidad de los presentes la Orden del día propuesta.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4.- INFORME DE AVANCES Y ACTIVIDADES.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desarrollo del cuarto punto del Orden del Día, se describen las actividades que se han llevado a cabo en la guardería 24/7 durante las últimas semanas, como lo son: la fiesta temática de colores, además de capacitaciones al personal de esta guardería.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5.- </w:t>
      </w:r>
      <w:r w:rsidDel="00000000" w:rsidR="00000000" w:rsidRPr="00000000">
        <w:rPr>
          <w:b w:val="1"/>
          <w:rtl w:val="0"/>
        </w:rPr>
        <w:t xml:space="preserve">PRESENTACIÓN Y EN SU CASO APROBACIÓN DEL PADRÓN DE BENEFICIARIOS.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cumplimiento con el quinto punto de la orden del día, la Lic. Engracia Alejandrina Vuelvas Acuña expone a los presentes la cantidad de solicitudes que ingresarán a la Guardería 24/7 propuestas para aprobación en esta sesión. Mismas que fueron validadas y revisadas según los dispuesto en las Reglas de Operación 2022 del programa Guardería 24/7, por la Unidad de Verificación y Comprobación de la Coordinación General de Combate a la Desigualdad.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740"/>
        <w:gridCol w:w="2235"/>
        <w:gridCol w:w="1590"/>
        <w:gridCol w:w="2415"/>
        <w:gridCol w:w="1635"/>
        <w:tblGridChange w:id="0">
          <w:tblGrid>
            <w:gridCol w:w="1740"/>
            <w:gridCol w:w="2235"/>
            <w:gridCol w:w="1590"/>
            <w:gridCol w:w="2415"/>
            <w:gridCol w:w="163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Población actual</w:t>
            </w:r>
          </w:p>
        </w:tc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Bajas</w:t>
            </w:r>
          </w:p>
        </w:tc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Nuevas personas beneficiarias</w:t>
            </w:r>
          </w:p>
        </w:tc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Guardería 24/7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37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37</w:t>
            </w:r>
          </w:p>
        </w:tc>
      </w:tr>
    </w:tbl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QUINTO PUNTO DEL ORDEN DEL DÍA: </w:t>
      </w:r>
      <w:r w:rsidDel="00000000" w:rsidR="00000000" w:rsidRPr="00000000">
        <w:rPr>
          <w:i w:val="1"/>
          <w:rtl w:val="0"/>
        </w:rPr>
        <w:t xml:space="preserve">De conformidad con lo anteriormente expuesto, se procede a votación y se aprueba por unanimidad de los presentes el ingreso a 5 (cinco) beneficiarios y beneficiarias.</w:t>
      </w:r>
    </w:p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6.- </w:t>
      </w:r>
      <w:r w:rsidDel="00000000" w:rsidR="00000000" w:rsidRPr="00000000">
        <w:rPr>
          <w:b w:val="1"/>
          <w:rtl w:val="0"/>
        </w:rPr>
        <w:t xml:space="preserve">ASUNTOS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toca el tema del inmueble “Ferrocarril” el cual a petición del Comisario de la Policía Preventiva Municipal de Guadalajara se utilizará para brindar el servicio futuro de la guardería 24/7 para su mejor aprovechamiento.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7.- </w:t>
      </w:r>
      <w:r w:rsidDel="00000000" w:rsidR="00000000" w:rsidRPr="00000000">
        <w:rPr>
          <w:b w:val="1"/>
          <w:rtl w:val="0"/>
        </w:rPr>
        <w:t xml:space="preserve">CLAUSURA.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que no existe tema adicional a tratar en la presente sesión, los miembros del c</w:t>
      </w:r>
      <w:r w:rsidDel="00000000" w:rsidR="00000000" w:rsidRPr="00000000">
        <w:rPr>
          <w:rtl w:val="0"/>
        </w:rPr>
        <w:t xml:space="preserve">onsejo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aprueban la clausura de la </w:t>
      </w:r>
      <w:r w:rsidDel="00000000" w:rsidR="00000000" w:rsidRPr="00000000">
        <w:rPr>
          <w:rtl w:val="0"/>
        </w:rPr>
        <w:t xml:space="preserve"> Primera Sesión Ordinaria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</w:t>
      </w:r>
      <w:r w:rsidDel="00000000" w:rsidR="00000000" w:rsidRPr="00000000">
        <w:rPr>
          <w:rtl w:val="0"/>
        </w:rPr>
        <w:t xml:space="preserve">nsejo Directivo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programa “</w:t>
      </w:r>
      <w:r w:rsidDel="00000000" w:rsidR="00000000" w:rsidRPr="00000000">
        <w:rPr>
          <w:rtl w:val="0"/>
        </w:rPr>
        <w:t xml:space="preserve">Guarderia 24/7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siendo las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15 once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horas con </w:t>
      </w:r>
      <w:r w:rsidDel="00000000" w:rsidR="00000000" w:rsidRPr="00000000">
        <w:rPr>
          <w:rtl w:val="0"/>
        </w:rPr>
        <w:t xml:space="preserve">quince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minutos del día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diez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agosto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 mil </w:t>
      </w:r>
      <w:r w:rsidDel="00000000" w:rsidR="00000000" w:rsidRPr="00000000">
        <w:rPr>
          <w:rtl w:val="0"/>
        </w:rPr>
        <w:t xml:space="preserve">veintidós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lo que se levantó para constancia la presenta acta.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LIC. ALEJANDRO MONJARÁS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designado por la Coordinación General de Combate a la Desigualdad.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MTRA. SARAHÍ MORFIN CONTRERAS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designada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 la Tesorería Municipal.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LIC. CHRISTIAN SOTO GÓMEZ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designado por la Dirección de Programas Sociales Municipales.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.773437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LIC. ANA MARÍA BAZAVILVAZO MEDINA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designada por el Sistema para el Desarrollo Integral de la Familia de Guadalajara.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CMTE. GABRIEL MORENO</w:t>
            </w:r>
          </w:p>
          <w:p w:rsidR="00000000" w:rsidDel="00000000" w:rsidP="00000000" w:rsidRDefault="00000000" w:rsidRPr="00000000" w14:paraId="00000059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designado por la Coordinación Municipal de Protección Civil y Bomberos del Municipio de Guadalajara.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LIC. CLAUDIA PAOLA PÉREZ HIGAREDA 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designada por la Comisaría de la Policía de Guadalajara.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LIC. NESTOR TELLO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Secretario Ejecutivo del Sistema Municipal de  Protección Integral de Niñas, Niños y Adolescentes del Municipio de Guadalajara.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3119" w:left="1701" w:right="1701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68.0" w:type="dxa"/>
      <w:jc w:val="left"/>
      <w:tblInd w:w="0.0" w:type="dxa"/>
      <w:tblLayout w:type="fixed"/>
      <w:tblLook w:val="0400"/>
    </w:tblPr>
    <w:tblGrid>
      <w:gridCol w:w="8161"/>
      <w:gridCol w:w="907"/>
      <w:tblGridChange w:id="0">
        <w:tblGrid>
          <w:gridCol w:w="8161"/>
          <w:gridCol w:w="90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Esta página forma parte integral del acta de la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primera sesión ordinaria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año 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202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2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C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onsejo Directivo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programa de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“Guardería 24/7''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, celebrada el día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10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de agosto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202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2.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504d" w:space="0" w:sz="4" w:val="single"/>
          </w:tcBorders>
          <w:shd w:fill="auto" w:val="clea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2"/>
      </w:pPr>
      <w:rPr>
        <w:b w:val="1"/>
      </w:rPr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377B5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5377B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D27D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27D5"/>
  </w:style>
  <w:style w:type="paragraph" w:styleId="Piedepgina">
    <w:name w:val="footer"/>
    <w:basedOn w:val="Normal"/>
    <w:link w:val="PiedepginaCar"/>
    <w:uiPriority w:val="99"/>
    <w:unhideWhenUsed w:val="1"/>
    <w:rsid w:val="00FD27D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27D5"/>
  </w:style>
  <w:style w:type="paragraph" w:styleId="encabezado2" w:customStyle="1">
    <w:name w:val="encabezado 2"/>
    <w:basedOn w:val="Normal"/>
    <w:next w:val="Normal"/>
    <w:uiPriority w:val="3"/>
    <w:unhideWhenUsed w:val="1"/>
    <w:qFormat w:val="1"/>
    <w:rsid w:val="00535251"/>
    <w:pPr>
      <w:keepNext w:val="1"/>
      <w:keepLines w:val="1"/>
      <w:numPr>
        <w:numId w:val="8"/>
      </w:numPr>
      <w:spacing w:after="80" w:before="400" w:line="264" w:lineRule="auto"/>
      <w:ind w:right="2160"/>
      <w:outlineLvl w:val="1"/>
    </w:pPr>
    <w:rPr>
      <w:rFonts w:asciiTheme="majorHAnsi" w:cstheme="majorBidi" w:eastAsiaTheme="majorEastAsia" w:hAnsiTheme="majorHAnsi"/>
      <w:color w:val="1f497d" w:themeColor="text2"/>
      <w:lang w:eastAsia="es-ES" w:val="es-ES"/>
    </w:rPr>
  </w:style>
  <w:style w:type="paragraph" w:styleId="encabezado3" w:customStyle="1">
    <w:name w:val="encabezado 3"/>
    <w:basedOn w:val="Normal"/>
    <w:next w:val="Normal"/>
    <w:link w:val="Carcterdeencabezado3"/>
    <w:uiPriority w:val="3"/>
    <w:unhideWhenUsed w:val="1"/>
    <w:qFormat w:val="1"/>
    <w:rsid w:val="00535251"/>
    <w:pPr>
      <w:numPr>
        <w:ilvl w:val="1"/>
        <w:numId w:val="8"/>
      </w:numPr>
      <w:spacing w:after="40" w:before="40" w:line="264" w:lineRule="auto"/>
      <w:ind w:left="864" w:right="2160"/>
      <w:outlineLvl w:val="2"/>
    </w:pPr>
    <w:rPr>
      <w:color w:val="1f497d" w:themeColor="text2"/>
      <w:lang w:eastAsia="es-ES" w:val="es-ES"/>
    </w:rPr>
  </w:style>
  <w:style w:type="paragraph" w:styleId="encabezado4" w:customStyle="1">
    <w:name w:val="encabezado 4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2"/>
        <w:numId w:val="8"/>
      </w:numPr>
      <w:spacing w:after="0" w:before="40" w:line="264" w:lineRule="auto"/>
      <w:outlineLvl w:val="3"/>
    </w:pPr>
    <w:rPr>
      <w:color w:val="1f497d" w:themeColor="text2"/>
      <w:lang w:eastAsia="es-ES" w:val="es-ES"/>
    </w:rPr>
  </w:style>
  <w:style w:type="paragraph" w:styleId="encabezado5" w:customStyle="1">
    <w:name w:val="encabezado 5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3"/>
        <w:numId w:val="8"/>
      </w:numPr>
      <w:spacing w:after="0" w:before="40" w:line="264" w:lineRule="auto"/>
      <w:outlineLvl w:val="4"/>
    </w:pPr>
    <w:rPr>
      <w:color w:val="1f497d" w:themeColor="text2"/>
      <w:lang w:eastAsia="es-ES" w:val="es-ES"/>
    </w:rPr>
  </w:style>
  <w:style w:type="paragraph" w:styleId="encabezado6" w:customStyle="1">
    <w:name w:val="encabezado 6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4"/>
        <w:numId w:val="8"/>
      </w:numPr>
      <w:spacing w:after="0" w:before="40" w:line="264" w:lineRule="auto"/>
      <w:outlineLvl w:val="5"/>
    </w:pPr>
    <w:rPr>
      <w:color w:val="1f497d" w:themeColor="text2"/>
      <w:lang w:eastAsia="es-ES" w:val="es-ES"/>
    </w:rPr>
  </w:style>
  <w:style w:type="paragraph" w:styleId="encabezado7" w:customStyle="1">
    <w:name w:val="encabezado 7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5"/>
        <w:numId w:val="8"/>
      </w:numPr>
      <w:spacing w:after="0" w:before="40" w:line="264" w:lineRule="auto"/>
      <w:outlineLvl w:val="6"/>
    </w:pPr>
    <w:rPr>
      <w:color w:val="1f497d" w:themeColor="text2"/>
      <w:lang w:eastAsia="es-ES" w:val="es-ES"/>
    </w:rPr>
  </w:style>
  <w:style w:type="paragraph" w:styleId="encabezado8" w:customStyle="1">
    <w:name w:val="encabezado 8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6"/>
        <w:numId w:val="8"/>
      </w:numPr>
      <w:spacing w:after="0" w:before="40" w:line="264" w:lineRule="auto"/>
      <w:outlineLvl w:val="7"/>
    </w:pPr>
    <w:rPr>
      <w:color w:val="1f497d" w:themeColor="text2"/>
      <w:lang w:eastAsia="es-ES" w:val="es-ES"/>
    </w:rPr>
  </w:style>
  <w:style w:type="paragraph" w:styleId="encabezado9" w:customStyle="1">
    <w:name w:val="encabezado 9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7"/>
        <w:numId w:val="8"/>
      </w:numPr>
      <w:spacing w:after="0" w:before="40" w:line="264" w:lineRule="auto"/>
      <w:outlineLvl w:val="8"/>
    </w:pPr>
    <w:rPr>
      <w:i w:val="1"/>
      <w:iCs w:val="1"/>
      <w:color w:val="1f497d" w:themeColor="text2"/>
      <w:lang w:eastAsia="es-ES" w:val="es-ES"/>
    </w:rPr>
  </w:style>
  <w:style w:type="character" w:styleId="Carcterdeencabezado3" w:customStyle="1">
    <w:name w:val="Carácter de encabezado 3"/>
    <w:basedOn w:val="Fuentedeprrafopredeter"/>
    <w:link w:val="encabezado3"/>
    <w:uiPriority w:val="3"/>
    <w:rsid w:val="00535251"/>
    <w:rPr>
      <w:color w:val="1f497d" w:themeColor="text2"/>
      <w:lang w:eastAsia="es-ES" w:val="es-ES"/>
    </w:rPr>
  </w:style>
  <w:style w:type="paragraph" w:styleId="Sinespaciado">
    <w:name w:val="No Spacing"/>
    <w:uiPriority w:val="1"/>
    <w:qFormat w:val="1"/>
    <w:rsid w:val="00C610F7"/>
    <w:pPr>
      <w:spacing w:after="0" w:line="240" w:lineRule="auto"/>
    </w:pPr>
  </w:style>
  <w:style w:type="paragraph" w:styleId="Default" w:customStyle="1">
    <w:name w:val="Default"/>
    <w:rsid w:val="00DF283E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D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DD0"/>
    <w:rPr>
      <w:rFonts w:ascii="Tahoma" w:cs="Tahoma" w:hAnsi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5A3734"/>
    <w:pPr>
      <w:spacing w:after="0" w:line="360" w:lineRule="auto"/>
      <w:ind w:left="708"/>
      <w:jc w:val="both"/>
    </w:pPr>
    <w:rPr>
      <w:rFonts w:ascii="Arial" w:cs="Times New Roman" w:eastAsia="Times New Roman" w:hAnsi="Arial"/>
      <w:sz w:val="24"/>
      <w:szCs w:val="28"/>
      <w:lang w:eastAsia="es-ES" w:val="es-ES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5A3734"/>
    <w:rPr>
      <w:rFonts w:ascii="Arial" w:cs="Times New Roman" w:eastAsia="Times New Roman" w:hAnsi="Arial"/>
      <w:sz w:val="24"/>
      <w:szCs w:val="2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X1sWg2GntDxDNA0fmGZQ+Xizw==">AMUW2mULerBxwKB8v8phiJAOV0uOLZiExt/T/f9cVAFby69Y5qTKgfHhUObIX29kat/vBaG7usFMazjOkQgLtlKUsiHDiZEYW6zaXjE74JxzLswEYxvsT/o=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2020-04-23T19:17:00Z</dcterms:created>
  <dc:creator>CBC HELIODORO</dc:creator>
</cp:coreProperties>
</file>