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23.odttf" ContentType="application/vnd.openxmlformats-officedocument.obfuscatedFont"/>
  <Override PartName="/word/fonts/font18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276" w:before="240" w:after="240"/>
        <w:jc w:val="end"/>
        <w:rPr>
          <w:rFonts w:ascii="Basic" w:hAnsi="Basic"/>
        </w:rPr>
      </w:pPr>
      <w:r>
        <w:rPr>
          <w:rFonts w:ascii="Basic" w:hAnsi="Basic"/>
          <w:b/>
          <w:bCs/>
          <w:sz w:val="24"/>
          <w:szCs w:val="24"/>
        </w:rPr>
        <w:t xml:space="preserve">29 de abril de 2026 </w:t>
      </w:r>
    </w:p>
    <w:p>
      <w:pPr>
        <w:pStyle w:val="normal1"/>
        <w:spacing w:lineRule="auto" w:line="276" w:before="0" w:after="0"/>
        <w:rPr>
          <w:rFonts w:ascii="Basic" w:hAnsi="Basic"/>
        </w:rPr>
      </w:pPr>
      <w:r>
        <w:rPr>
          <w:rFonts w:eastAsia="Roboto" w:cs="Roboto" w:ascii="Basic" w:hAnsi="Basic"/>
          <w:b/>
          <w:bCs/>
          <w:sz w:val="24"/>
          <w:szCs w:val="24"/>
          <w:highlight w:val="white"/>
        </w:rPr>
        <w:t>19° Sesión Ordinaria del Comité de Vigilancia en Materia de Áreas Naturales Protegidas; Parques, Jardines y Recursos Forestales del Municipio de Guadalajara</w:t>
      </w:r>
    </w:p>
    <w:p>
      <w:pPr>
        <w:pStyle w:val="normal1"/>
        <w:spacing w:lineRule="auto" w:line="276" w:before="0" w:after="0"/>
        <w:rPr>
          <w:rFonts w:ascii="Basic" w:hAnsi="Basic" w:eastAsia="Roboto" w:cs="Roboto"/>
          <w:sz w:val="24"/>
          <w:szCs w:val="24"/>
          <w:highlight w:val="white"/>
        </w:rPr>
      </w:pPr>
      <w:r>
        <w:rPr>
          <w:rFonts w:eastAsia="Roboto" w:cs="Roboto" w:ascii="Basic" w:hAnsi="Basic"/>
          <w:sz w:val="24"/>
          <w:szCs w:val="24"/>
          <w:highlight w:val="white"/>
        </w:rPr>
      </w:r>
    </w:p>
    <w:p>
      <w:pPr>
        <w:pStyle w:val="normal1"/>
        <w:spacing w:lineRule="auto" w:line="276" w:before="0" w:after="0"/>
        <w:rPr>
          <w:rFonts w:ascii="Basic" w:hAnsi="Basic" w:eastAsia="Roboto" w:cs="Roboto"/>
          <w:b/>
          <w:bCs/>
          <w:sz w:val="24"/>
          <w:szCs w:val="24"/>
          <w:highlight w:val="white"/>
        </w:rPr>
      </w:pPr>
      <w:r>
        <w:rPr>
          <w:rFonts w:eastAsia="Roboto" w:cs="Roboto" w:ascii="Basic" w:hAnsi="Basic"/>
          <w:b/>
          <w:bCs/>
          <w:sz w:val="24"/>
          <w:szCs w:val="24"/>
          <w:highlight w:val="white"/>
        </w:rPr>
      </w:r>
    </w:p>
    <w:p>
      <w:pPr>
        <w:pStyle w:val="normal1"/>
        <w:spacing w:lineRule="auto" w:line="276" w:before="0" w:after="0"/>
        <w:rPr>
          <w:rFonts w:ascii="Basic" w:hAnsi="Basic"/>
        </w:rPr>
      </w:pPr>
      <w:r>
        <w:rPr>
          <w:rFonts w:eastAsia="Roboto" w:cs="Roboto" w:ascii="Basic" w:hAnsi="Basic"/>
          <w:b/>
          <w:bCs/>
          <w:sz w:val="24"/>
          <w:szCs w:val="24"/>
          <w:highlight w:val="white"/>
        </w:rPr>
        <w:t>ORDEN DEL DÍA</w:t>
      </w:r>
    </w:p>
    <w:p>
      <w:pPr>
        <w:pStyle w:val="normal1"/>
        <w:spacing w:lineRule="auto" w:line="276" w:before="0" w:after="0"/>
        <w:rPr>
          <w:rFonts w:ascii="Basic" w:hAnsi="Basic"/>
        </w:rPr>
      </w:pPr>
      <w:r>
        <w:rPr>
          <w:rFonts w:eastAsia="Roboto" w:cs="Roboto" w:ascii="Basic" w:hAnsi="Basic"/>
          <w:sz w:val="24"/>
          <w:szCs w:val="24"/>
          <w:highlight w:val="white"/>
        </w:rPr>
        <w:t xml:space="preserve">   </w:t>
      </w:r>
    </w:p>
    <w:p>
      <w:pPr>
        <w:pStyle w:val="normal1"/>
        <w:spacing w:lineRule="auto" w:line="276" w:before="0" w:after="0"/>
        <w:rPr>
          <w:rFonts w:ascii="Basic" w:hAnsi="Basic"/>
        </w:rPr>
      </w:pPr>
      <w:r>
        <w:rPr>
          <w:rFonts w:eastAsia="Roboto" w:cs="Roboto" w:ascii="Basic" w:hAnsi="Basic"/>
          <w:sz w:val="24"/>
          <w:szCs w:val="24"/>
          <w:highlight w:val="white"/>
        </w:rPr>
        <w:t xml:space="preserve">I. Lista de Asistencia y Verificación del Quórum Legal.     </w:t>
      </w:r>
    </w:p>
    <w:p>
      <w:pPr>
        <w:pStyle w:val="normal1"/>
        <w:spacing w:lineRule="auto" w:line="276" w:before="0" w:after="0"/>
        <w:rPr>
          <w:rFonts w:ascii="Basic" w:hAnsi="Basic"/>
        </w:rPr>
      </w:pPr>
      <w:r>
        <w:rPr>
          <w:rFonts w:eastAsia="Roboto" w:cs="Roboto" w:ascii="Basic" w:hAnsi="Basic"/>
          <w:sz w:val="24"/>
          <w:szCs w:val="24"/>
          <w:highlight w:val="white"/>
        </w:rPr>
        <w:t xml:space="preserve">II. Lectura y en su caso Aprobación del Orden del Día.         </w:t>
      </w:r>
    </w:p>
    <w:p>
      <w:pPr>
        <w:pStyle w:val="normal1"/>
        <w:spacing w:lineRule="auto" w:line="276" w:before="0" w:after="0"/>
        <w:rPr>
          <w:rFonts w:ascii="Basic" w:hAnsi="Basic"/>
        </w:rPr>
      </w:pPr>
      <w:r>
        <w:rPr>
          <w:rFonts w:eastAsia="Roboto" w:cs="Roboto" w:ascii="Basic" w:hAnsi="Basic"/>
          <w:sz w:val="24"/>
          <w:szCs w:val="24"/>
          <w:highlight w:val="white"/>
        </w:rPr>
        <w:t>III. Lectura y en su caso aprobación del Acta de la Décima Octava Sesión    Ordinaria, celebrada el día 18 de marzo del 2026.</w:t>
      </w:r>
    </w:p>
    <w:p>
      <w:pPr>
        <w:pStyle w:val="normal1"/>
        <w:spacing w:lineRule="auto" w:line="276" w:before="0" w:after="0"/>
        <w:rPr>
          <w:rFonts w:ascii="Basic" w:hAnsi="Basic"/>
        </w:rPr>
      </w:pPr>
      <w:r>
        <w:rPr>
          <w:rFonts w:eastAsia="Roboto" w:cs="Roboto" w:ascii="Basic" w:hAnsi="Basic"/>
          <w:sz w:val="24"/>
          <w:szCs w:val="24"/>
          <w:highlight w:val="white"/>
        </w:rPr>
        <w:t>IV. Revisióny en caso aprobación de los Dictámenes Forestales:</w:t>
      </w:r>
    </w:p>
    <w:p>
      <w:pPr>
        <w:pStyle w:val="normal1"/>
        <w:spacing w:lineRule="auto" w:line="276" w:before="0" w:after="0"/>
        <w:rPr>
          <w:rFonts w:ascii="Basic" w:hAnsi="Basic" w:eastAsia="Roboto" w:cs="Roboto"/>
          <w:sz w:val="24"/>
          <w:szCs w:val="24"/>
          <w:highlight w:val="white"/>
        </w:rPr>
      </w:pPr>
      <w:r>
        <w:rPr>
          <w:rFonts w:eastAsia="Roboto" w:cs="Roboto" w:ascii="Basic" w:hAnsi="Basic"/>
          <w:sz w:val="24"/>
          <w:szCs w:val="24"/>
          <w:highlight w:val="white"/>
        </w:rPr>
      </w:r>
    </w:p>
    <w:p>
      <w:pPr>
        <w:pStyle w:val="normal1"/>
        <w:spacing w:lineRule="auto" w:line="276" w:before="0" w:after="0"/>
        <w:rPr>
          <w:rFonts w:ascii="Basic" w:hAnsi="Basic"/>
        </w:rPr>
      </w:pPr>
      <w:r>
        <w:rPr>
          <w:rFonts w:eastAsia="Roboto" w:cs="Roboto" w:ascii="Basic" w:hAnsi="Basic"/>
          <w:b/>
          <w:bCs/>
          <w:sz w:val="24"/>
          <w:szCs w:val="24"/>
          <w:highlight w:val="white"/>
        </w:rPr>
        <w:t>1.-Dictamen 33830</w:t>
      </w:r>
      <w:r>
        <w:rPr>
          <w:rFonts w:eastAsia="Roboto" w:cs="Roboto" w:ascii="Basic" w:hAnsi="Basic"/>
          <w:sz w:val="24"/>
          <w:szCs w:val="24"/>
          <w:highlight w:val="white"/>
        </w:rPr>
        <w:t>, Calle Santo Domingo #826. Colonia Chapalita.</w:t>
      </w:r>
    </w:p>
    <w:p>
      <w:pPr>
        <w:pStyle w:val="normal1"/>
        <w:spacing w:lineRule="auto" w:line="276" w:before="0" w:after="0"/>
        <w:rPr>
          <w:rFonts w:ascii="Basic" w:hAnsi="Basic"/>
        </w:rPr>
      </w:pPr>
      <w:r>
        <w:rPr>
          <w:rFonts w:eastAsia="Roboto" w:cs="Roboto" w:ascii="Basic" w:hAnsi="Basic"/>
          <w:b/>
          <w:bCs/>
          <w:sz w:val="24"/>
          <w:szCs w:val="24"/>
          <w:highlight w:val="white"/>
        </w:rPr>
        <w:t>2.-Dictamen 34070</w:t>
      </w:r>
      <w:r>
        <w:rPr>
          <w:rFonts w:eastAsia="Roboto" w:cs="Roboto" w:ascii="Basic" w:hAnsi="Basic"/>
          <w:sz w:val="24"/>
          <w:szCs w:val="24"/>
          <w:highlight w:val="white"/>
        </w:rPr>
        <w:t>, Calle Pino #1921. Colonia Del Fresno.</w:t>
      </w:r>
    </w:p>
    <w:p>
      <w:pPr>
        <w:pStyle w:val="normal1"/>
        <w:spacing w:lineRule="auto" w:line="276" w:before="0" w:after="0"/>
        <w:rPr>
          <w:rFonts w:ascii="Basic" w:hAnsi="Basic"/>
        </w:rPr>
      </w:pPr>
      <w:r>
        <w:rPr>
          <w:rFonts w:eastAsia="Roboto" w:cs="Roboto" w:ascii="Basic" w:hAnsi="Basic"/>
          <w:b/>
          <w:bCs/>
          <w:sz w:val="24"/>
          <w:szCs w:val="24"/>
          <w:highlight w:val="white"/>
        </w:rPr>
        <w:t xml:space="preserve">3.-Dictamen 34439, </w:t>
      </w:r>
      <w:r>
        <w:rPr>
          <w:rFonts w:eastAsia="Roboto" w:cs="Roboto" w:ascii="Basic" w:hAnsi="Basic"/>
          <w:sz w:val="24"/>
          <w:szCs w:val="24"/>
          <w:highlight w:val="white"/>
        </w:rPr>
        <w:t>Calle Siria #4291. Colonia El Bethel.</w:t>
      </w:r>
    </w:p>
    <w:p>
      <w:pPr>
        <w:pStyle w:val="normal1"/>
        <w:spacing w:lineRule="auto" w:line="276" w:before="0" w:after="0"/>
        <w:rPr>
          <w:rFonts w:ascii="Basic" w:hAnsi="Basic" w:eastAsia="Roboto" w:cs="Roboto"/>
          <w:sz w:val="24"/>
          <w:szCs w:val="24"/>
          <w:highlight w:val="white"/>
        </w:rPr>
      </w:pPr>
      <w:r>
        <w:rPr>
          <w:rFonts w:eastAsia="Roboto" w:cs="Roboto" w:ascii="Basic" w:hAnsi="Basic"/>
          <w:sz w:val="24"/>
          <w:szCs w:val="24"/>
          <w:highlight w:val="white"/>
        </w:rPr>
      </w:r>
    </w:p>
    <w:p>
      <w:pPr>
        <w:pStyle w:val="normal1"/>
        <w:spacing w:lineRule="auto" w:line="276" w:before="0" w:after="0"/>
        <w:rPr>
          <w:rFonts w:ascii="Basic" w:hAnsi="Basic"/>
        </w:rPr>
      </w:pPr>
      <w:r>
        <w:rPr>
          <w:rFonts w:eastAsia="Roboto" w:cs="Roboto" w:ascii="Basic" w:hAnsi="Basic"/>
          <w:sz w:val="24"/>
          <w:szCs w:val="24"/>
          <w:highlight w:val="white"/>
        </w:rPr>
        <w:t xml:space="preserve">V. Asuntos Varios.      </w:t>
      </w:r>
    </w:p>
    <w:p>
      <w:pPr>
        <w:pStyle w:val="normal1"/>
        <w:spacing w:lineRule="auto" w:line="276" w:before="0" w:after="0"/>
        <w:rPr>
          <w:rFonts w:ascii="Basic" w:hAnsi="Basic" w:eastAsia="Roboto" w:cs="Roboto"/>
          <w:sz w:val="24"/>
          <w:szCs w:val="24"/>
          <w:highlight w:val="white"/>
        </w:rPr>
      </w:pPr>
      <w:r>
        <w:rPr>
          <w:rFonts w:eastAsia="Roboto" w:cs="Roboto" w:ascii="Basic" w:hAnsi="Basic"/>
          <w:sz w:val="24"/>
          <w:szCs w:val="24"/>
          <w:highlight w:val="white"/>
        </w:rPr>
      </w:r>
    </w:p>
    <w:p>
      <w:pPr>
        <w:pStyle w:val="normal1"/>
        <w:spacing w:lineRule="auto" w:line="276" w:before="0" w:after="0"/>
        <w:rPr>
          <w:rFonts w:ascii="Basic" w:hAnsi="Basic"/>
        </w:rPr>
      </w:pPr>
      <w:r>
        <w:rPr>
          <w:rFonts w:eastAsia="Roboto" w:cs="Roboto" w:ascii="Basic" w:hAnsi="Basic"/>
          <w:sz w:val="24"/>
          <w:szCs w:val="24"/>
          <w:highlight w:val="white"/>
        </w:rPr>
        <w:t>5.1. Registro a la fecha en el Padrón de Especialistas Técnicos Forestales del Municipio de Guadalajara 2 (dos) empresas. (Green House &amp; Urbanismo Forestal).</w:t>
      </w:r>
    </w:p>
    <w:p>
      <w:pPr>
        <w:pStyle w:val="normal1"/>
        <w:spacing w:lineRule="auto" w:line="276" w:before="0" w:after="0"/>
        <w:rPr>
          <w:rFonts w:ascii="Basic" w:hAnsi="Basic"/>
        </w:rPr>
      </w:pPr>
      <w:r>
        <w:rPr>
          <w:rFonts w:eastAsia="Roboto" w:cs="Roboto" w:ascii="Basic" w:hAnsi="Basic"/>
          <w:sz w:val="24"/>
          <w:szCs w:val="24"/>
          <w:highlight w:val="white"/>
        </w:rPr>
        <w:t xml:space="preserve">5.2. Propuesta de la metodología para la declaración de Árboles Forestales. </w:t>
      </w:r>
    </w:p>
    <w:p>
      <w:pPr>
        <w:pStyle w:val="normal1"/>
        <w:spacing w:lineRule="auto" w:line="276" w:before="0" w:after="0"/>
        <w:rPr>
          <w:rFonts w:ascii="Basic" w:hAnsi="Basic" w:eastAsia="Roboto" w:cs="Roboto"/>
          <w:sz w:val="24"/>
          <w:szCs w:val="24"/>
          <w:highlight w:val="white"/>
        </w:rPr>
      </w:pPr>
      <w:r>
        <w:rPr>
          <w:rFonts w:eastAsia="Roboto" w:cs="Roboto" w:ascii="Basic" w:hAnsi="Basic"/>
          <w:sz w:val="24"/>
          <w:szCs w:val="24"/>
          <w:highlight w:val="white"/>
        </w:rPr>
      </w:r>
    </w:p>
    <w:p>
      <w:pPr>
        <w:pStyle w:val="normal1"/>
        <w:spacing w:lineRule="auto" w:line="276" w:before="0" w:after="0"/>
        <w:rPr>
          <w:rFonts w:ascii="Basic" w:hAnsi="Basic"/>
        </w:rPr>
      </w:pPr>
      <w:r>
        <w:rPr>
          <w:rFonts w:eastAsia="Roboto" w:cs="Roboto" w:ascii="Basic" w:hAnsi="Basic"/>
          <w:sz w:val="24"/>
          <w:szCs w:val="24"/>
          <w:highlight w:val="white"/>
        </w:rPr>
        <w:t>VI. Clausura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134" w:right="1134" w:gutter="0" w:header="720" w:top="2693" w:footer="720" w:bottom="2268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 w:characterSet="windows-1252"/>
    <w:family w:val="roman"/>
    <w:pitch w:val="variable"/>
    <w:embedRegular r:id="rId14" w:fontKey="{0E014A78-CABC-4EF0-12AC-5CD89AEFDE0E}"/>
  </w:font>
  <w:font w:name="Liberation Sans">
    <w:altName w:val="Arial"/>
    <w:charset w:val="00" w:characterSet="windows-1252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Georgia">
    <w:charset w:val="00" w:characterSet="windows-1252"/>
    <w:family w:val="roman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  <w:font w:name="Basic">
    <w:charset w:val="01"/>
    <w:family w:val="auto"/>
    <w:pitch w:val="variable"/>
    <w:embedRegular r:id="rId23" w:fontKey="{17014A78-CABC-4EF0-12AC-5CD89AEFDE17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pacing w:before="0" w:after="16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spacing w:lineRule="auto" w:line="240" w:before="0" w:after="160"/>
      <w:jc w:val="cen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spacing w:lineRule="auto" w:line="240" w:before="0" w:after="160"/>
      <w:jc w:val="cen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before="0" w:after="16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widowControl/>
      <w:bidi w:val="0"/>
      <w:spacing w:lineRule="auto" w:line="259" w:before="0" w:after="160"/>
      <w:jc w:val="start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widowControl/>
      <w:bidi w:val="0"/>
      <w:spacing w:lineRule="auto" w:line="259" w:before="0" w:after="160"/>
      <w:jc w:val="start"/>
      <w:rPr/>
    </w:pPr>
    <w:r>
      <w:rPr/>
    </w:r>
  </w:p>
</w:hdr>
</file>

<file path=word/settings.xml><?xml version="1.0" encoding="utf-8"?>
<w:settings xmlns:w="http://schemas.openxmlformats.org/wordprocessingml/2006/main">
  <w:zoom w:percent="82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star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suppressAutoHyphens w:val="true"/>
      <w:bidi w:val="0"/>
      <w:spacing w:lineRule="auto" w:line="259" w:before="0" w:after="160"/>
      <w:jc w:val="star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ceraypieuser">
    <w:name w:val="Cabecera y pie (user)"/>
    <w:basedOn w:val="Normal"/>
    <w:qFormat/>
    <w:pPr/>
    <w:rPr/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Cabeceraypieuser"/>
    <w:pPr/>
    <w:rPr/>
  </w:style>
  <w:style w:type="paragraph" w:styleId="Footer">
    <w:name w:val="footer"/>
    <w:basedOn w:val="Cabeceraypieuser"/>
    <w:pPr/>
    <w:rPr/>
  </w:style>
  <w:style w:type="numbering" w:styleId="Ningunalistauser" w:default="1">
    <w:name w:val="Ninguna lista (user)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dwCDlO/zooPZhNckir6w7aTyHkA==">CgMxLjA4AHIhMVg3YUFKZkhjb3ZNXzhaUTVWbkl5LUthWkxiYkJMSWh0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LibreOffice/25.8.5.2$Windows_X86_64 LibreOffice_project/9c8b85f387cc00a89945a79c9e6239f32e450ac2</Application>
  <AppVersion>15.0000</AppVersion>
  <Pages>1</Pages>
  <Words>146</Words>
  <Characters>786</Characters>
  <CharactersWithSpaces>946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2024-10-04T23:22:00Z</dcterms:created>
  <dc:creator>Frank. Elizondo</dc:creator>
  <dc:description/>
  <dc:language>es-MX</dc:language>
  <cp:lastModifiedBy/>
  <dcterms:modified xsi:type="dcterms:W3CDTF">2026-04-30T13:02:00Z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