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5E8D04B8" w14:textId="77777777" w:rsidTr="00A45E83">
        <w:tc>
          <w:tcPr>
            <w:tcW w:w="8978" w:type="dxa"/>
          </w:tcPr>
          <w:p w14:paraId="6E00A4FC" w14:textId="10EDCB7E" w:rsidR="009F5BF2" w:rsidRDefault="00677B9C" w:rsidP="00245F49">
            <w:pPr>
              <w:spacing w:after="0" w:line="240" w:lineRule="auto"/>
              <w:jc w:val="center"/>
              <w:rPr>
                <w:rFonts w:ascii="Arial" w:hAnsi="Arial" w:cs="Arial"/>
                <w:b/>
                <w:sz w:val="24"/>
                <w:szCs w:val="28"/>
              </w:rPr>
            </w:pPr>
            <w:bookmarkStart w:id="0" w:name="ente"/>
            <w:bookmarkEnd w:id="0"/>
            <w:r>
              <w:rPr>
                <w:rFonts w:ascii="Arial" w:hAnsi="Arial" w:cs="Arial"/>
                <w:b/>
                <w:sz w:val="24"/>
                <w:szCs w:val="28"/>
              </w:rPr>
              <w:t>MUNICIPIO GUADALAJARA</w:t>
            </w:r>
          </w:p>
          <w:p w14:paraId="29C64F0F" w14:textId="77777777" w:rsidR="00245F49" w:rsidRPr="004A7026" w:rsidRDefault="00245F49" w:rsidP="00245F49">
            <w:pPr>
              <w:spacing w:after="0" w:line="240" w:lineRule="auto"/>
              <w:jc w:val="center"/>
              <w:rPr>
                <w:rFonts w:ascii="Arial" w:hAnsi="Arial" w:cs="Arial"/>
                <w:b/>
                <w:sz w:val="24"/>
                <w:szCs w:val="28"/>
              </w:rPr>
            </w:pPr>
            <w:r w:rsidRPr="004A7026">
              <w:rPr>
                <w:rFonts w:ascii="Arial" w:hAnsi="Arial" w:cs="Arial"/>
                <w:b/>
                <w:sz w:val="24"/>
                <w:szCs w:val="28"/>
              </w:rPr>
              <w:t>NOTAS A LOS ESTADOS FINANCIEROS</w:t>
            </w:r>
          </w:p>
          <w:p w14:paraId="37D3C180" w14:textId="77777777" w:rsidR="00A45E83" w:rsidRPr="006628DA" w:rsidRDefault="00245F49" w:rsidP="006628DA">
            <w:pPr>
              <w:spacing w:after="0" w:line="240" w:lineRule="auto"/>
              <w:jc w:val="center"/>
              <w:rPr>
                <w:rFonts w:ascii="Arial" w:hAnsi="Arial" w:cs="Arial"/>
                <w:b/>
                <w:sz w:val="24"/>
                <w:szCs w:val="28"/>
              </w:rPr>
            </w:pPr>
            <w:r w:rsidRPr="004A7026">
              <w:rPr>
                <w:rFonts w:ascii="Arial" w:hAnsi="Arial" w:cs="Arial"/>
                <w:b/>
                <w:sz w:val="24"/>
                <w:szCs w:val="28"/>
              </w:rPr>
              <w:t xml:space="preserve"> DE GESTIÓN ADMINISTRATIVA</w:t>
            </w:r>
          </w:p>
          <w:p w14:paraId="51B3172D" w14:textId="0DA46C3B" w:rsidR="00A45E83" w:rsidRPr="00EF11D0" w:rsidRDefault="00677B9C" w:rsidP="00A45E83">
            <w:pPr>
              <w:spacing w:after="0" w:line="240" w:lineRule="auto"/>
              <w:jc w:val="center"/>
              <w:rPr>
                <w:rFonts w:ascii="Arial" w:hAnsi="Arial" w:cs="Arial"/>
                <w:b/>
                <w:sz w:val="24"/>
                <w:szCs w:val="24"/>
              </w:rPr>
            </w:pPr>
            <w:bookmarkStart w:id="1" w:name="periodo"/>
            <w:bookmarkEnd w:id="1"/>
            <w:r>
              <w:rPr>
                <w:rFonts w:ascii="Arial" w:hAnsi="Arial" w:cs="Arial"/>
                <w:b/>
                <w:sz w:val="24"/>
                <w:szCs w:val="24"/>
              </w:rPr>
              <w:t>DEL 1° DE ENERO AL 31 DE DICIEMBRE DE 2025</w:t>
            </w:r>
          </w:p>
        </w:tc>
      </w:tr>
    </w:tbl>
    <w:p w14:paraId="62FAEBD8" w14:textId="77777777"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013CCAFD" w14:textId="77777777" w:rsidTr="00A45E83">
        <w:tc>
          <w:tcPr>
            <w:tcW w:w="8978" w:type="dxa"/>
          </w:tcPr>
          <w:p w14:paraId="23734FE7" w14:textId="77777777" w:rsidR="00677B9C" w:rsidRDefault="00677B9C" w:rsidP="00677B9C">
            <w:pPr>
              <w:autoSpaceDE w:val="0"/>
              <w:autoSpaceDN w:val="0"/>
              <w:adjustRightInd w:val="0"/>
              <w:jc w:val="center"/>
              <w:rPr>
                <w:rFonts w:ascii="Arial" w:hAnsi="Arial" w:cs="Arial"/>
                <w:b/>
                <w:bCs/>
                <w:sz w:val="24"/>
                <w:szCs w:val="24"/>
                <w:lang w:eastAsia="es-MX"/>
              </w:rPr>
            </w:pPr>
            <w:bookmarkStart w:id="2" w:name="cuerpo"/>
            <w:bookmarkEnd w:id="2"/>
            <w:r>
              <w:rPr>
                <w:rFonts w:ascii="Arial" w:hAnsi="Arial" w:cs="Arial"/>
                <w:b/>
                <w:bCs/>
                <w:sz w:val="24"/>
                <w:szCs w:val="24"/>
                <w:lang w:eastAsia="es-MX"/>
              </w:rPr>
              <w:t>NOTAS DE GESTIÓN ADMINISTRATIVA</w:t>
            </w:r>
          </w:p>
          <w:p w14:paraId="19CD285D" w14:textId="77777777" w:rsidR="00677B9C" w:rsidRDefault="00677B9C" w:rsidP="00677B9C">
            <w:pPr>
              <w:autoSpaceDE w:val="0"/>
              <w:autoSpaceDN w:val="0"/>
              <w:adjustRightInd w:val="0"/>
              <w:ind w:left="708"/>
              <w:jc w:val="both"/>
              <w:rPr>
                <w:rFonts w:ascii="Arial" w:hAnsi="Arial" w:cs="Arial"/>
                <w:b/>
                <w:bCs/>
                <w:sz w:val="24"/>
                <w:szCs w:val="24"/>
                <w:lang w:eastAsia="es-MX"/>
              </w:rPr>
            </w:pPr>
            <w:r>
              <w:rPr>
                <w:rFonts w:ascii="Arial" w:hAnsi="Arial" w:cs="Arial"/>
                <w:b/>
                <w:bCs/>
                <w:sz w:val="24"/>
                <w:szCs w:val="24"/>
                <w:lang w:eastAsia="es-MX"/>
              </w:rPr>
              <w:t>1. Autorización e Historia</w:t>
            </w:r>
          </w:p>
          <w:p w14:paraId="6E922A49"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a.</w:t>
            </w:r>
            <w:r>
              <w:rPr>
                <w:rFonts w:ascii="Arial" w:hAnsi="Arial" w:cs="Arial"/>
                <w:sz w:val="24"/>
                <w:szCs w:val="24"/>
                <w:lang w:eastAsia="es-MX"/>
              </w:rPr>
              <w:tab/>
              <w:t>Fecha de creación del ente público</w:t>
            </w:r>
          </w:p>
          <w:p w14:paraId="786D1CB1"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El 14 de febrero de 1542, la ciudad de Guadalajara fue fundada por cuarta y última vez en el Valle de Atemajac, sobre el margen del río San Juan de Dios.</w:t>
            </w:r>
          </w:p>
          <w:p w14:paraId="0CF29AFB"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52303938"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b.</w:t>
            </w:r>
            <w:r>
              <w:rPr>
                <w:rFonts w:ascii="Arial" w:hAnsi="Arial" w:cs="Arial"/>
                <w:sz w:val="24"/>
                <w:szCs w:val="24"/>
                <w:lang w:eastAsia="es-MX"/>
              </w:rPr>
              <w:tab/>
              <w:t>Principales cambios en su estructura</w:t>
            </w:r>
          </w:p>
          <w:p w14:paraId="1F0FEF5D"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El municipio lleva la denominación oficial de “Guadalajara”, de conformidad con lo establecido en el artículo 4 numeral 41 de la Ley del Gobierno y la Administración Pública Municipal del Estado de Jalisco.</w:t>
            </w:r>
          </w:p>
          <w:p w14:paraId="415E8A58"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62EE175A"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Se compone con la población que reside en este, con el territorio que le corresponde, así como con su gobierno emanado democráticamente y constituido en los términos de lo dispuesto en la Constitución Política de los Estados Unidos Mexicanos, en la particular del Estado de Jalisco y en las leyes que de ambas emanan.</w:t>
            </w:r>
          </w:p>
          <w:p w14:paraId="6302B92D"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Su Gobierno Municipal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w:t>
            </w:r>
          </w:p>
          <w:p w14:paraId="7A86D93F" w14:textId="77777777" w:rsidR="00677B9C" w:rsidRDefault="00677B9C" w:rsidP="00677B9C">
            <w:pPr>
              <w:autoSpaceDE w:val="0"/>
              <w:autoSpaceDN w:val="0"/>
              <w:adjustRightInd w:val="0"/>
              <w:jc w:val="both"/>
              <w:rPr>
                <w:rFonts w:ascii="Arial" w:hAnsi="Arial" w:cs="Arial"/>
                <w:sz w:val="24"/>
                <w:szCs w:val="24"/>
                <w:lang w:eastAsia="es-MX"/>
              </w:rPr>
            </w:pPr>
          </w:p>
          <w:p w14:paraId="2249474A" w14:textId="77777777" w:rsidR="00677B9C" w:rsidRDefault="00677B9C" w:rsidP="00677B9C">
            <w:pPr>
              <w:autoSpaceDE w:val="0"/>
              <w:autoSpaceDN w:val="0"/>
              <w:adjustRightInd w:val="0"/>
              <w:ind w:left="708"/>
              <w:jc w:val="both"/>
              <w:rPr>
                <w:rFonts w:ascii="Arial" w:hAnsi="Arial" w:cs="Arial"/>
                <w:b/>
                <w:bCs/>
                <w:sz w:val="24"/>
                <w:szCs w:val="24"/>
                <w:lang w:eastAsia="es-MX"/>
              </w:rPr>
            </w:pPr>
            <w:r>
              <w:rPr>
                <w:rFonts w:ascii="Arial" w:hAnsi="Arial" w:cs="Arial"/>
                <w:b/>
                <w:bCs/>
                <w:sz w:val="24"/>
                <w:szCs w:val="24"/>
                <w:lang w:eastAsia="es-MX"/>
              </w:rPr>
              <w:t>2. Panorama Económico y Financiero</w:t>
            </w:r>
          </w:p>
          <w:p w14:paraId="7040B008"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En el marco de los escenarios nacional y local del Estado de Jalisco, el municipio de Guadalajara, plantea el manejo de las finanzas públicas, con base para la formulación del Presupuesto Público para el ejercicio 2025, enfocándose en promover, respetar, proteger y garantizar los derechos humanos de conformidad con los principios de universalidad, interdependencia, indivisibilidad y progresividad, así como de establecer el principio de paridad de género en la integración y funcionamiento de las dependencias y entidades que conforman la administración pública municipal.</w:t>
            </w:r>
          </w:p>
          <w:p w14:paraId="7CAE0E0D" w14:textId="77777777" w:rsidR="00677B9C" w:rsidRDefault="00677B9C" w:rsidP="00677B9C">
            <w:pPr>
              <w:autoSpaceDE w:val="0"/>
              <w:autoSpaceDN w:val="0"/>
              <w:adjustRightInd w:val="0"/>
              <w:ind w:left="708"/>
              <w:jc w:val="both"/>
              <w:rPr>
                <w:rFonts w:ascii="Arial" w:hAnsi="Arial" w:cs="Arial"/>
                <w:b/>
                <w:bCs/>
                <w:sz w:val="24"/>
                <w:szCs w:val="24"/>
                <w:lang w:eastAsia="es-MX"/>
              </w:rPr>
            </w:pPr>
            <w:r>
              <w:rPr>
                <w:rFonts w:ascii="Arial" w:hAnsi="Arial" w:cs="Arial"/>
                <w:b/>
                <w:bCs/>
                <w:sz w:val="24"/>
                <w:szCs w:val="24"/>
                <w:lang w:eastAsia="es-MX"/>
              </w:rPr>
              <w:lastRenderedPageBreak/>
              <w:t>3. Organización y Objeto Social</w:t>
            </w:r>
          </w:p>
          <w:p w14:paraId="3C5DFF56"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a) Objeto Social</w:t>
            </w:r>
          </w:p>
          <w:p w14:paraId="7D194E65"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El Municipio libre de Guadalajara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w:t>
            </w:r>
          </w:p>
          <w:p w14:paraId="4EE175D2"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A71E051"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b) Principal actividad</w:t>
            </w:r>
          </w:p>
          <w:p w14:paraId="3DB753E6"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Es el atender lo dispuesto en los artículos 115 fracciones I y II primer párrafo de la Constitución Política de los Estados Unidos Mexicanos; 73 fracciones I, 77 fracción II y 86 párrafo segundo de la Constitución Política del Estado de Jalisco; 37 fracción II, 40 fracción II, 42 fracción V, 44, 60 y 148 de la Ley del Gobierno y la Administración Pública Municipal del Estado de Jalisco.</w:t>
            </w:r>
          </w:p>
          <w:p w14:paraId="3D1A7B8B"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C0246EF"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c) Ejercicio fiscal</w:t>
            </w:r>
          </w:p>
          <w:p w14:paraId="3E680495"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Los ejercicios fiscales del ente público comprenden del 01 de enero al 31 de diciembre de cada año.</w:t>
            </w:r>
          </w:p>
          <w:p w14:paraId="3784A617"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76E491A6"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d) Régimen jurídico</w:t>
            </w:r>
          </w:p>
          <w:p w14:paraId="39B49094"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Persona Moral sin fines de Lucro.</w:t>
            </w:r>
          </w:p>
          <w:p w14:paraId="5F1B6098"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8559776"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 Consideraciones fiscales del ente</w:t>
            </w:r>
          </w:p>
          <w:p w14:paraId="46A06774"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Las obligaciones fiscales a cargo del Municipio son las determinadas por las leyes fiscales para los contribuyentes clasificados como personas morales con fines no lucrativos.</w:t>
            </w:r>
          </w:p>
          <w:p w14:paraId="12ADA1F6"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2A2B2586"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544B4046"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65ED98EA"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f) Estructura organizacional básica</w:t>
            </w:r>
          </w:p>
          <w:p w14:paraId="671040E4"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 xml:space="preserve">De conformidad con el Código de Gobierno Municipal de Guadalajara, la estructura organizacional básica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p>
          <w:p w14:paraId="75965CA4"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246CFC69"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g) Fideicomisos, mandatos y análogos de los cuales es fideicomitente o fideicomisario</w:t>
            </w:r>
          </w:p>
          <w:p w14:paraId="041C134D"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lastRenderedPageBreak/>
              <w:t>El Municipio de Guadalajara cuenta con fideicomisos sin estructura para el cumplimiento de sus fines, y se integra a su patrimonio conforme la normatividad respectiva.</w:t>
            </w:r>
          </w:p>
          <w:p w14:paraId="441D2B91"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2E1D352A"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irrevocable para la administración de un fondo para el pago de indemnizaciones de enfermedades por riesgos de trabajo.</w:t>
            </w:r>
          </w:p>
          <w:p w14:paraId="318D5DC8"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Fondo Guadalajara de Fomento Empresarial</w:t>
            </w:r>
          </w:p>
          <w:p w14:paraId="17538D1D"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Puerta Guadalajara</w:t>
            </w:r>
          </w:p>
          <w:p w14:paraId="7B5941A3"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INVEX 155</w:t>
            </w:r>
          </w:p>
          <w:p w14:paraId="2A37FB95"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BBVA 403248-8</w:t>
            </w:r>
          </w:p>
          <w:p w14:paraId="40BB563A" w14:textId="77777777" w:rsidR="00677B9C" w:rsidRDefault="00677B9C" w:rsidP="00677B9C">
            <w:pPr>
              <w:autoSpaceDE w:val="0"/>
              <w:autoSpaceDN w:val="0"/>
              <w:adjustRightInd w:val="0"/>
              <w:spacing w:after="0"/>
              <w:ind w:left="1065" w:hanging="705"/>
              <w:jc w:val="both"/>
              <w:rPr>
                <w:rFonts w:ascii="Arial" w:hAnsi="Arial" w:cs="Arial"/>
                <w:sz w:val="24"/>
                <w:szCs w:val="24"/>
                <w:lang w:eastAsia="es-MX"/>
              </w:rPr>
            </w:pPr>
            <w:r>
              <w:rPr>
                <w:rFonts w:ascii="Arial" w:hAnsi="Arial" w:cs="Arial"/>
                <w:sz w:val="24"/>
                <w:szCs w:val="24"/>
                <w:lang w:eastAsia="es-MX"/>
              </w:rPr>
              <w:t>•</w:t>
            </w:r>
            <w:r>
              <w:rPr>
                <w:rFonts w:ascii="Arial" w:hAnsi="Arial" w:cs="Arial"/>
                <w:sz w:val="24"/>
                <w:szCs w:val="24"/>
                <w:lang w:eastAsia="es-MX"/>
              </w:rPr>
              <w:tab/>
              <w:t>Fideicomiso Multiva 437-2</w:t>
            </w:r>
          </w:p>
          <w:p w14:paraId="6DE7B367"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6CDA696E" w14:textId="77777777" w:rsidR="00677B9C" w:rsidRDefault="00677B9C" w:rsidP="00677B9C">
            <w:pPr>
              <w:autoSpaceDE w:val="0"/>
              <w:autoSpaceDN w:val="0"/>
              <w:adjustRightInd w:val="0"/>
              <w:ind w:left="360"/>
              <w:jc w:val="both"/>
              <w:rPr>
                <w:rFonts w:ascii="Arial" w:hAnsi="Arial" w:cs="Arial"/>
                <w:b/>
                <w:bCs/>
                <w:sz w:val="24"/>
                <w:szCs w:val="24"/>
                <w:lang w:eastAsia="es-MX"/>
              </w:rPr>
            </w:pPr>
            <w:r>
              <w:rPr>
                <w:rFonts w:ascii="Arial" w:hAnsi="Arial" w:cs="Arial"/>
                <w:b/>
                <w:bCs/>
                <w:sz w:val="24"/>
                <w:szCs w:val="24"/>
                <w:lang w:eastAsia="es-MX"/>
              </w:rPr>
              <w:t>4. Bases de Preparación de los Estados Financieros</w:t>
            </w:r>
          </w:p>
          <w:p w14:paraId="120B9A46"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Los Estados Financieros, así como la información contable, se encuentran expresados en moneda nacional y han sido elaborados de conformidad con las disposiciones de la Ley General de Contabilidad Gubernamental emitidos por el Consejo Nacional de Armonización Contable (CONAC), así como el Consejo de Armonización Contable del Estado de Jalisco (CACEJ).</w:t>
            </w:r>
          </w:p>
          <w:p w14:paraId="622A25E7" w14:textId="77777777" w:rsidR="00677B9C" w:rsidRDefault="00677B9C" w:rsidP="00677B9C">
            <w:pPr>
              <w:autoSpaceDE w:val="0"/>
              <w:autoSpaceDN w:val="0"/>
              <w:adjustRightInd w:val="0"/>
              <w:jc w:val="both"/>
              <w:rPr>
                <w:rFonts w:ascii="Arial" w:hAnsi="Arial" w:cs="Arial"/>
                <w:b/>
                <w:bCs/>
                <w:sz w:val="24"/>
                <w:szCs w:val="24"/>
                <w:lang w:eastAsia="es-MX"/>
              </w:rPr>
            </w:pPr>
            <w:r>
              <w:rPr>
                <w:rFonts w:ascii="Arial" w:hAnsi="Arial" w:cs="Arial"/>
                <w:b/>
                <w:bCs/>
                <w:sz w:val="24"/>
                <w:szCs w:val="24"/>
                <w:lang w:eastAsia="es-MX"/>
              </w:rPr>
              <w:t>Postulados básicos.</w:t>
            </w:r>
          </w:p>
          <w:p w14:paraId="05FCEAC9"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Los postulados básicos que aplica el Municipio de Guadalajara son los siguientes:</w:t>
            </w:r>
          </w:p>
          <w:p w14:paraId="52C7C8A8"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 xml:space="preserve">1. </w:t>
            </w:r>
            <w:r>
              <w:rPr>
                <w:rFonts w:ascii="Arial" w:hAnsi="Arial" w:cs="Arial"/>
                <w:sz w:val="24"/>
                <w:szCs w:val="24"/>
                <w:u w:val="single"/>
                <w:lang w:eastAsia="es-MX"/>
              </w:rPr>
              <w:t>Sustancia Económica.</w:t>
            </w:r>
            <w:r>
              <w:rPr>
                <w:rFonts w:ascii="Arial" w:hAnsi="Arial" w:cs="Arial"/>
                <w:sz w:val="24"/>
                <w:szCs w:val="24"/>
                <w:lang w:eastAsia="es-MX"/>
              </w:rPr>
              <w:t xml:space="preserve"> </w:t>
            </w:r>
          </w:p>
          <w:p w14:paraId="5569B23E"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Es el reconocimiento contable de las transacciones, transformaciones internas y otros eventos, que afectan económicamente al ente público y delimitan la operación del Sistema de Contabilidad Gubernamental (SCG).</w:t>
            </w:r>
          </w:p>
          <w:p w14:paraId="52E7CCDD"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412A603E"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 xml:space="preserve">2. </w:t>
            </w:r>
            <w:r>
              <w:rPr>
                <w:rFonts w:ascii="Arial" w:hAnsi="Arial" w:cs="Arial"/>
                <w:sz w:val="24"/>
                <w:szCs w:val="24"/>
                <w:u w:val="single"/>
                <w:lang w:eastAsia="es-MX"/>
              </w:rPr>
              <w:t>Entes Públicos.</w:t>
            </w:r>
            <w:r>
              <w:rPr>
                <w:rFonts w:ascii="Arial" w:hAnsi="Arial" w:cs="Arial"/>
                <w:sz w:val="24"/>
                <w:szCs w:val="24"/>
                <w:lang w:eastAsia="es-MX"/>
              </w:rPr>
              <w:t xml:space="preserve"> </w:t>
            </w:r>
          </w:p>
          <w:p w14:paraId="11BB12FA"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50D3BC3D"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65E94B92"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 xml:space="preserve">3. </w:t>
            </w:r>
            <w:r>
              <w:rPr>
                <w:rFonts w:ascii="Arial" w:hAnsi="Arial" w:cs="Arial"/>
                <w:sz w:val="24"/>
                <w:szCs w:val="24"/>
                <w:u w:val="single"/>
                <w:lang w:eastAsia="es-MX"/>
              </w:rPr>
              <w:t>Existencia Permanente</w:t>
            </w:r>
            <w:r>
              <w:rPr>
                <w:rFonts w:ascii="Arial" w:hAnsi="Arial" w:cs="Arial"/>
                <w:sz w:val="24"/>
                <w:szCs w:val="24"/>
                <w:lang w:eastAsia="es-MX"/>
              </w:rPr>
              <w:t xml:space="preserve">. </w:t>
            </w:r>
          </w:p>
          <w:p w14:paraId="420510F5"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La actividad del ente público se establece por tiempo indefinido, saldo disposición legal en la que se especifique lo contrario.</w:t>
            </w:r>
          </w:p>
          <w:p w14:paraId="57685694"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58CE41DB"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 xml:space="preserve">4. </w:t>
            </w:r>
            <w:r>
              <w:rPr>
                <w:rFonts w:ascii="Arial" w:hAnsi="Arial" w:cs="Arial"/>
                <w:sz w:val="24"/>
                <w:szCs w:val="24"/>
                <w:u w:val="single"/>
                <w:lang w:eastAsia="es-MX"/>
              </w:rPr>
              <w:t>Revelación Suficiente.</w:t>
            </w:r>
            <w:r>
              <w:rPr>
                <w:rFonts w:ascii="Arial" w:hAnsi="Arial" w:cs="Arial"/>
                <w:sz w:val="24"/>
                <w:szCs w:val="24"/>
                <w:lang w:eastAsia="es-MX"/>
              </w:rPr>
              <w:t xml:space="preserve"> </w:t>
            </w:r>
          </w:p>
          <w:p w14:paraId="7BC16372"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lastRenderedPageBreak/>
              <w:t>Los estados y la información financiera deben mostrar amplia y claramente la situación financiera y los resultados del ente público.</w:t>
            </w:r>
          </w:p>
          <w:p w14:paraId="4510F40A"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66F0591"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5. Importancia Relativa.</w:t>
            </w:r>
            <w:r>
              <w:rPr>
                <w:rFonts w:ascii="Arial" w:hAnsi="Arial" w:cs="Arial"/>
                <w:sz w:val="24"/>
                <w:szCs w:val="24"/>
                <w:lang w:eastAsia="es-MX"/>
              </w:rPr>
              <w:t xml:space="preserve"> </w:t>
            </w:r>
          </w:p>
          <w:p w14:paraId="5C354EA9"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La información debe mostrar los aspectos importantes de la entidad que fueron reconocidos contablemente.</w:t>
            </w:r>
          </w:p>
          <w:p w14:paraId="04179213"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174B8CDD"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6. Registro e Integración Presupuestaria.</w:t>
            </w:r>
            <w:r>
              <w:rPr>
                <w:rFonts w:ascii="Arial" w:hAnsi="Arial" w:cs="Arial"/>
                <w:sz w:val="24"/>
                <w:szCs w:val="24"/>
                <w:lang w:eastAsia="es-MX"/>
              </w:rPr>
              <w:t xml:space="preserve"> </w:t>
            </w:r>
          </w:p>
          <w:p w14:paraId="4867C956"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La información presupuestaria de los entes públicos se integra en la contabilidad en los mismos términos que se presentan en la Ley de Ingresos y en el Decreto del Presupuesto de Egresos, de acuerdo con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50A3B3EB"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33A29BF"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7. Consolidación de la Información Financiera.</w:t>
            </w:r>
            <w:r>
              <w:rPr>
                <w:rFonts w:ascii="Arial" w:hAnsi="Arial" w:cs="Arial"/>
                <w:sz w:val="24"/>
                <w:szCs w:val="24"/>
                <w:lang w:eastAsia="es-MX"/>
              </w:rPr>
              <w:t xml:space="preserve"> </w:t>
            </w:r>
          </w:p>
          <w:p w14:paraId="59604307"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14:paraId="5CF837B0"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397D341A"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7D30E9A9"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8. Devengo Contable.</w:t>
            </w:r>
            <w:r>
              <w:rPr>
                <w:rFonts w:ascii="Arial" w:hAnsi="Arial" w:cs="Arial"/>
                <w:sz w:val="24"/>
                <w:szCs w:val="24"/>
                <w:lang w:eastAsia="es-MX"/>
              </w:rPr>
              <w:t xml:space="preserve"> </w:t>
            </w:r>
          </w:p>
          <w:p w14:paraId="5880E3D7"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63B19B3A"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2F9CDE08"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9. Valuación.</w:t>
            </w:r>
            <w:r>
              <w:rPr>
                <w:rFonts w:ascii="Arial" w:hAnsi="Arial" w:cs="Arial"/>
                <w:sz w:val="24"/>
                <w:szCs w:val="24"/>
                <w:lang w:eastAsia="es-MX"/>
              </w:rPr>
              <w:t xml:space="preserve"> </w:t>
            </w:r>
          </w:p>
          <w:p w14:paraId="2FFEAA34"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Todos los eventos que afecten económicamente al ente público deben ser cuantificados en términos monetarios y se registrarán al costo histórico o al valor económico más objetivo registrándose en moneda nacional.</w:t>
            </w:r>
          </w:p>
          <w:p w14:paraId="57D469CD"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0AEBC04E"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10. Dualidad Económica.</w:t>
            </w:r>
            <w:r>
              <w:rPr>
                <w:rFonts w:ascii="Arial" w:hAnsi="Arial" w:cs="Arial"/>
                <w:sz w:val="24"/>
                <w:szCs w:val="24"/>
                <w:lang w:eastAsia="es-MX"/>
              </w:rPr>
              <w:t xml:space="preserve"> </w:t>
            </w:r>
          </w:p>
          <w:p w14:paraId="113D3A38"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4EF2D90" w14:textId="77777777" w:rsidR="00677B9C" w:rsidRDefault="00677B9C" w:rsidP="00677B9C">
            <w:pPr>
              <w:autoSpaceDE w:val="0"/>
              <w:autoSpaceDN w:val="0"/>
              <w:adjustRightInd w:val="0"/>
              <w:spacing w:after="0"/>
              <w:jc w:val="both"/>
              <w:rPr>
                <w:rFonts w:ascii="Arial" w:hAnsi="Arial" w:cs="Arial"/>
                <w:sz w:val="24"/>
                <w:szCs w:val="24"/>
                <w:lang w:eastAsia="es-MX"/>
              </w:rPr>
            </w:pPr>
          </w:p>
          <w:p w14:paraId="16B3E87F"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u w:val="single"/>
                <w:lang w:eastAsia="es-MX"/>
              </w:rPr>
              <w:t>11. Consistencia.</w:t>
            </w:r>
            <w:r>
              <w:rPr>
                <w:rFonts w:ascii="Arial" w:hAnsi="Arial" w:cs="Arial"/>
                <w:sz w:val="24"/>
                <w:szCs w:val="24"/>
                <w:lang w:eastAsia="es-MX"/>
              </w:rPr>
              <w:t xml:space="preserve"> </w:t>
            </w:r>
          </w:p>
          <w:p w14:paraId="0EEB1B4B" w14:textId="77777777" w:rsidR="00677B9C" w:rsidRDefault="00677B9C" w:rsidP="00677B9C">
            <w:pPr>
              <w:autoSpaceDE w:val="0"/>
              <w:autoSpaceDN w:val="0"/>
              <w:adjustRightInd w:val="0"/>
              <w:spacing w:after="0"/>
              <w:jc w:val="both"/>
              <w:rPr>
                <w:rFonts w:ascii="Arial" w:hAnsi="Arial" w:cs="Arial"/>
                <w:sz w:val="24"/>
                <w:szCs w:val="24"/>
                <w:lang w:eastAsia="es-MX"/>
              </w:rPr>
            </w:pPr>
            <w:r>
              <w:rPr>
                <w:rFonts w:ascii="Arial" w:hAnsi="Arial" w:cs="Arial"/>
                <w:sz w:val="24"/>
                <w:szCs w:val="24"/>
                <w:lang w:eastAsia="es-MX"/>
              </w:rPr>
              <w:t>Ante la existencia de operaciones similares en un ente público, debe corresponder un mismo tratamiento contable, el cual debe permanecer a través del tiempo, en tanto no cambie la esencia económica de las operaciones.</w:t>
            </w:r>
          </w:p>
          <w:p w14:paraId="6C82C6D6"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Normatividad supletoria. En virtud de la normatividad emitida por el CONAC, el Municipio de Guadalajara no ha requerido la aplicación de normatividad supletoria en materia de Contabilidad Gubernamental.</w:t>
            </w:r>
          </w:p>
          <w:p w14:paraId="70130197" w14:textId="77777777" w:rsidR="00677B9C" w:rsidRDefault="00677B9C" w:rsidP="00677B9C">
            <w:pPr>
              <w:autoSpaceDE w:val="0"/>
              <w:autoSpaceDN w:val="0"/>
              <w:adjustRightInd w:val="0"/>
              <w:ind w:left="708"/>
              <w:jc w:val="both"/>
              <w:rPr>
                <w:rFonts w:ascii="Arial" w:hAnsi="Arial" w:cs="Arial"/>
                <w:b/>
                <w:bCs/>
                <w:sz w:val="24"/>
                <w:szCs w:val="24"/>
                <w:lang w:eastAsia="es-MX"/>
              </w:rPr>
            </w:pPr>
            <w:r>
              <w:rPr>
                <w:rFonts w:ascii="Arial" w:hAnsi="Arial" w:cs="Arial"/>
                <w:b/>
                <w:bCs/>
                <w:sz w:val="24"/>
                <w:szCs w:val="24"/>
                <w:lang w:eastAsia="es-MX"/>
              </w:rPr>
              <w:t>5. Políticas de Contabilidad Significativas</w:t>
            </w:r>
          </w:p>
          <w:p w14:paraId="2430F5D1"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Atendiendo a la Norma Internacional de Contabilidad del Sector Público (NICSP) 10-Información Financiera en Economías Hiperinflacionarias, se informa que, al estar en desconexión inflacionaria, no fue necesario actualizar los registros de la Hacienda Púbica del Municipio.</w:t>
            </w:r>
          </w:p>
          <w:p w14:paraId="0553256D" w14:textId="77777777" w:rsidR="00677B9C" w:rsidRDefault="00677B9C" w:rsidP="00677B9C">
            <w:pPr>
              <w:autoSpaceDE w:val="0"/>
              <w:autoSpaceDN w:val="0"/>
              <w:adjustRightInd w:val="0"/>
              <w:ind w:left="708"/>
              <w:jc w:val="both"/>
              <w:rPr>
                <w:rFonts w:ascii="Arial" w:hAnsi="Arial" w:cs="Arial"/>
                <w:b/>
                <w:bCs/>
                <w:sz w:val="24"/>
                <w:szCs w:val="24"/>
                <w:lang w:eastAsia="es-MX"/>
              </w:rPr>
            </w:pPr>
            <w:r>
              <w:rPr>
                <w:rFonts w:ascii="Arial" w:hAnsi="Arial" w:cs="Arial"/>
                <w:b/>
                <w:bCs/>
                <w:sz w:val="24"/>
                <w:szCs w:val="24"/>
                <w:lang w:eastAsia="es-MX"/>
              </w:rPr>
              <w:t>6. Posición en Moneda Extranjera y Protección por Riesgo Cambiario</w:t>
            </w:r>
          </w:p>
          <w:p w14:paraId="61CF798C" w14:textId="77777777" w:rsidR="00677B9C" w:rsidRDefault="00677B9C" w:rsidP="00677B9C">
            <w:pPr>
              <w:autoSpaceDE w:val="0"/>
              <w:autoSpaceDN w:val="0"/>
              <w:adjustRightInd w:val="0"/>
              <w:jc w:val="both"/>
              <w:rPr>
                <w:rFonts w:ascii="Arial" w:hAnsi="Arial" w:cs="Arial"/>
                <w:sz w:val="24"/>
                <w:szCs w:val="24"/>
                <w:lang w:eastAsia="es-MX"/>
              </w:rPr>
            </w:pPr>
            <w:r>
              <w:rPr>
                <w:rFonts w:ascii="Arial" w:hAnsi="Arial" w:cs="Arial"/>
                <w:sz w:val="24"/>
                <w:szCs w:val="24"/>
                <w:lang w:eastAsia="es-MX"/>
              </w:rPr>
              <w:t xml:space="preserve">El Municipio solo realiza operaciones en moneda nacional, por lo que no se han generado registros en moneda distinta al </w:t>
            </w:r>
            <w:proofErr w:type="gramStart"/>
            <w:r>
              <w:rPr>
                <w:rFonts w:ascii="Arial" w:hAnsi="Arial" w:cs="Arial"/>
                <w:sz w:val="24"/>
                <w:szCs w:val="24"/>
                <w:lang w:eastAsia="es-MX"/>
              </w:rPr>
              <w:t>Peso Mexicano</w:t>
            </w:r>
            <w:proofErr w:type="gramEnd"/>
            <w:r>
              <w:rPr>
                <w:rFonts w:ascii="Arial" w:hAnsi="Arial" w:cs="Arial"/>
                <w:sz w:val="24"/>
                <w:szCs w:val="24"/>
                <w:lang w:eastAsia="es-MX"/>
              </w:rPr>
              <w:t>.</w:t>
            </w:r>
          </w:p>
          <w:p w14:paraId="6F76DD7A" w14:textId="77777777" w:rsidR="00677B9C" w:rsidRDefault="00677B9C" w:rsidP="00677B9C">
            <w:pPr>
              <w:autoSpaceDE w:val="0"/>
              <w:autoSpaceDN w:val="0"/>
              <w:adjustRightInd w:val="0"/>
              <w:spacing w:after="0" w:line="240" w:lineRule="auto"/>
              <w:rPr>
                <w:rFonts w:ascii="Arial" w:hAnsi="Arial" w:cs="Arial"/>
                <w:b/>
                <w:bCs/>
                <w:sz w:val="24"/>
                <w:szCs w:val="24"/>
                <w:lang w:eastAsia="es-MX"/>
              </w:rPr>
            </w:pPr>
          </w:p>
          <w:p w14:paraId="4F36B7FA" w14:textId="77777777" w:rsidR="00A45E83" w:rsidRPr="007326BD" w:rsidRDefault="00A45E83" w:rsidP="00A45E83">
            <w:pPr>
              <w:spacing w:after="0" w:line="240" w:lineRule="auto"/>
              <w:jc w:val="both"/>
              <w:rPr>
                <w:rFonts w:ascii="Arial" w:hAnsi="Arial" w:cs="Arial"/>
                <w:sz w:val="24"/>
                <w:szCs w:val="24"/>
              </w:rPr>
            </w:pPr>
          </w:p>
        </w:tc>
      </w:tr>
    </w:tbl>
    <w:p w14:paraId="1444053C" w14:textId="77777777" w:rsidR="00A45E83" w:rsidRDefault="00A45E83">
      <w:pPr>
        <w:rPr>
          <w:rFonts w:ascii="Arial" w:hAnsi="Arial" w:cs="Arial"/>
        </w:rPr>
      </w:pPr>
    </w:p>
    <w:p w14:paraId="1089808E" w14:textId="77777777" w:rsidR="008E706B" w:rsidRDefault="008E706B">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9"/>
        <w:gridCol w:w="1248"/>
        <w:gridCol w:w="3841"/>
      </w:tblGrid>
      <w:tr w:rsidR="0009560A" w:rsidRPr="001F0913" w14:paraId="1190917D" w14:textId="77777777" w:rsidTr="00983255">
        <w:trPr>
          <w:jc w:val="center"/>
        </w:trPr>
        <w:tc>
          <w:tcPr>
            <w:tcW w:w="3794" w:type="dxa"/>
            <w:vAlign w:val="center"/>
          </w:tcPr>
          <w:p w14:paraId="06157795" w14:textId="77777777"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14:anchorId="5A31C93E" wp14:editId="43023234">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vAlign w:val="center"/>
          </w:tcPr>
          <w:p w14:paraId="00993C81" w14:textId="77777777" w:rsidR="0009560A" w:rsidRPr="001F0913" w:rsidRDefault="0009560A" w:rsidP="0009560A">
            <w:pPr>
              <w:rPr>
                <w:rFonts w:ascii="Arial" w:hAnsi="Arial" w:cs="Arial"/>
                <w:sz w:val="20"/>
              </w:rPr>
            </w:pPr>
          </w:p>
        </w:tc>
        <w:tc>
          <w:tcPr>
            <w:tcW w:w="3908" w:type="dxa"/>
            <w:vAlign w:val="center"/>
          </w:tcPr>
          <w:p w14:paraId="11B2C086" w14:textId="77777777"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14:anchorId="464CD732" wp14:editId="0CE87EFF">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1F0913" w14:paraId="368DB5B9" w14:textId="77777777" w:rsidTr="00983255">
        <w:trPr>
          <w:jc w:val="center"/>
        </w:trPr>
        <w:tc>
          <w:tcPr>
            <w:tcW w:w="3794" w:type="dxa"/>
            <w:vAlign w:val="center"/>
          </w:tcPr>
          <w:p w14:paraId="722A239A" w14:textId="7AF5023D" w:rsidR="0009560A" w:rsidRPr="00AA3238" w:rsidRDefault="00677B9C" w:rsidP="00983255">
            <w:pPr>
              <w:jc w:val="center"/>
              <w:rPr>
                <w:rFonts w:ascii="Arial" w:hAnsi="Arial" w:cs="Arial"/>
                <w:b/>
                <w:sz w:val="20"/>
              </w:rPr>
            </w:pPr>
            <w:bookmarkStart w:id="3" w:name="firma1"/>
            <w:bookmarkEnd w:id="3"/>
            <w:r>
              <w:rPr>
                <w:rFonts w:ascii="Arial" w:hAnsi="Arial" w:cs="Arial"/>
                <w:b/>
                <w:sz w:val="20"/>
              </w:rPr>
              <w:t>C. VERÓNICA DELGADILLO GARCÍA</w:t>
            </w:r>
          </w:p>
          <w:p w14:paraId="55A4B7D1" w14:textId="24202116" w:rsidR="0009560A" w:rsidRPr="00AA3238" w:rsidRDefault="00677B9C" w:rsidP="00983255">
            <w:pPr>
              <w:jc w:val="center"/>
              <w:rPr>
                <w:rFonts w:ascii="Arial" w:hAnsi="Arial" w:cs="Arial"/>
                <w:b/>
                <w:sz w:val="20"/>
              </w:rPr>
            </w:pPr>
            <w:bookmarkStart w:id="4" w:name="Cargo1"/>
            <w:bookmarkEnd w:id="4"/>
            <w:r>
              <w:rPr>
                <w:rFonts w:ascii="Arial" w:hAnsi="Arial" w:cs="Arial"/>
                <w:b/>
                <w:sz w:val="20"/>
              </w:rPr>
              <w:t>PRESIDENTA MUNICIPAL DE GUADALAJARA</w:t>
            </w:r>
          </w:p>
        </w:tc>
        <w:tc>
          <w:tcPr>
            <w:tcW w:w="1276" w:type="dxa"/>
            <w:vAlign w:val="center"/>
          </w:tcPr>
          <w:p w14:paraId="2B2CA3EB" w14:textId="77777777" w:rsidR="0009560A" w:rsidRPr="001F0913" w:rsidRDefault="0009560A" w:rsidP="0009560A">
            <w:pPr>
              <w:rPr>
                <w:rFonts w:ascii="Arial" w:hAnsi="Arial" w:cs="Arial"/>
                <w:sz w:val="20"/>
              </w:rPr>
            </w:pPr>
          </w:p>
        </w:tc>
        <w:tc>
          <w:tcPr>
            <w:tcW w:w="3908" w:type="dxa"/>
            <w:vAlign w:val="center"/>
          </w:tcPr>
          <w:p w14:paraId="6A9943C9" w14:textId="2463CF9B" w:rsidR="0009560A" w:rsidRPr="00AA3238" w:rsidRDefault="00677B9C" w:rsidP="00983255">
            <w:pPr>
              <w:jc w:val="center"/>
              <w:rPr>
                <w:rFonts w:ascii="Arial" w:hAnsi="Arial" w:cs="Arial"/>
                <w:b/>
                <w:sz w:val="20"/>
              </w:rPr>
            </w:pPr>
            <w:bookmarkStart w:id="5" w:name="firma2"/>
            <w:bookmarkEnd w:id="5"/>
            <w:r>
              <w:rPr>
                <w:rFonts w:ascii="Arial" w:hAnsi="Arial" w:cs="Arial"/>
                <w:b/>
                <w:sz w:val="20"/>
              </w:rPr>
              <w:t>L.C. IRLANDA LOERYTHE BAUMBACH VALENCIA</w:t>
            </w:r>
          </w:p>
          <w:p w14:paraId="14CA78EC" w14:textId="7FA2102C" w:rsidR="0009560A" w:rsidRPr="00AA3238" w:rsidRDefault="00677B9C" w:rsidP="00983255">
            <w:pPr>
              <w:jc w:val="center"/>
              <w:rPr>
                <w:rFonts w:ascii="Arial" w:hAnsi="Arial" w:cs="Arial"/>
                <w:b/>
                <w:sz w:val="20"/>
              </w:rPr>
            </w:pPr>
            <w:bookmarkStart w:id="6" w:name="Cargo2"/>
            <w:bookmarkEnd w:id="6"/>
            <w:r>
              <w:rPr>
                <w:rFonts w:ascii="Arial" w:hAnsi="Arial" w:cs="Arial"/>
                <w:b/>
                <w:sz w:val="20"/>
              </w:rPr>
              <w:t>TESORERA MUNICIPAL</w:t>
            </w:r>
          </w:p>
        </w:tc>
      </w:tr>
    </w:tbl>
    <w:p w14:paraId="758158B0" w14:textId="07535742" w:rsidR="0009560A" w:rsidRPr="00721735" w:rsidRDefault="00677B9C" w:rsidP="00DC7A0D">
      <w:pPr>
        <w:jc w:val="center"/>
        <w:rPr>
          <w:rFonts w:ascii="C39HrP24DhTt" w:hAnsi="C39HrP24DhTt" w:cs="Arial"/>
          <w:sz w:val="44"/>
          <w:szCs w:val="44"/>
        </w:rPr>
      </w:pPr>
      <w:bookmarkStart w:id="7" w:name="codigo"/>
      <w:bookmarkEnd w:id="7"/>
      <w:r>
        <w:rPr>
          <w:rFonts w:ascii="C39HrP24DhTt" w:hAnsi="C39HrP24DhTt" w:cs="Arial"/>
          <w:sz w:val="44"/>
          <w:szCs w:val="44"/>
        </w:rPr>
        <w:t>ASEJ2025-13-15-06-2026-1</w:t>
      </w:r>
    </w:p>
    <w:p w14:paraId="396E0B84" w14:textId="77777777" w:rsidR="008E706B" w:rsidRPr="00B157EC" w:rsidRDefault="008E706B" w:rsidP="008E706B">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w:t>
      </w:r>
      <w:r w:rsidR="00FF744F">
        <w:rPr>
          <w:rFonts w:ascii="Arial" w:hAnsi="Arial" w:cs="Arial"/>
          <w:sz w:val="24"/>
          <w:szCs w:val="24"/>
        </w:rPr>
        <w:t>os y responsabilidad del emisor.</w:t>
      </w:r>
    </w:p>
    <w:sectPr w:rsidR="008E706B" w:rsidRPr="00B157EC"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39HrP24DhTt">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56A31"/>
    <w:rsid w:val="0009560A"/>
    <w:rsid w:val="00171D82"/>
    <w:rsid w:val="00245F49"/>
    <w:rsid w:val="00317582"/>
    <w:rsid w:val="0040191D"/>
    <w:rsid w:val="004D1A2A"/>
    <w:rsid w:val="006628DA"/>
    <w:rsid w:val="00677B9C"/>
    <w:rsid w:val="007326BD"/>
    <w:rsid w:val="00806603"/>
    <w:rsid w:val="008A5017"/>
    <w:rsid w:val="008E706B"/>
    <w:rsid w:val="00983255"/>
    <w:rsid w:val="009F5BF2"/>
    <w:rsid w:val="00A45336"/>
    <w:rsid w:val="00A45E83"/>
    <w:rsid w:val="00AA3238"/>
    <w:rsid w:val="00CF669B"/>
    <w:rsid w:val="00DC7A0D"/>
    <w:rsid w:val="00E96F92"/>
    <w:rsid w:val="00EF11D0"/>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348E"/>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7978</Characters>
  <Application>Microsoft Office Word</Application>
  <DocSecurity>0</DocSecurity>
  <Lines>194</Lines>
  <Paragraphs>84</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Carlos Loreto Martínez</cp:lastModifiedBy>
  <cp:revision>3</cp:revision>
  <dcterms:created xsi:type="dcterms:W3CDTF">2026-06-15T18:06:00Z</dcterms:created>
  <dcterms:modified xsi:type="dcterms:W3CDTF">2026-06-17T17:01:00Z</dcterms:modified>
</cp:coreProperties>
</file>