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6527"/>
      </w:tblGrid>
      <w:tr w:rsidR="00324C82" w:rsidRPr="004B40C1" w:rsidTr="00324C82">
        <w:tc>
          <w:tcPr>
            <w:tcW w:w="2451" w:type="dxa"/>
          </w:tcPr>
          <w:p w:rsidR="00324C82" w:rsidRPr="004B40C1" w:rsidRDefault="00324C82" w:rsidP="00324C82">
            <w:pPr>
              <w:jc w:val="both"/>
              <w:rPr>
                <w:rFonts w:ascii="Arial" w:hAnsi="Arial" w:cs="Arial"/>
                <w:b/>
                <w:sz w:val="24"/>
                <w:szCs w:val="24"/>
              </w:rPr>
            </w:pPr>
            <w:r w:rsidRPr="004B40C1">
              <w:rPr>
                <w:rFonts w:ascii="Arial" w:hAnsi="Arial" w:cs="Arial"/>
                <w:noProof/>
                <w:sz w:val="24"/>
                <w:szCs w:val="24"/>
                <w:lang w:eastAsia="es-MX"/>
              </w:rPr>
              <w:drawing>
                <wp:inline distT="0" distB="0" distL="0" distR="0" wp14:anchorId="5AD15C7A" wp14:editId="2CD5A563">
                  <wp:extent cx="1419423" cy="959436"/>
                  <wp:effectExtent l="0" t="0" r="0" b="0"/>
                  <wp:docPr id="15" name="1 Imagen">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19423" cy="959436"/>
                          </a:xfrm>
                          <a:prstGeom prst="rect">
                            <a:avLst/>
                          </a:prstGeom>
                        </pic:spPr>
                      </pic:pic>
                    </a:graphicData>
                  </a:graphic>
                </wp:inline>
              </w:drawing>
            </w:r>
          </w:p>
        </w:tc>
        <w:tc>
          <w:tcPr>
            <w:tcW w:w="6527" w:type="dxa"/>
          </w:tcPr>
          <w:p w:rsidR="00324C82" w:rsidRPr="004B40C1" w:rsidRDefault="00324C82" w:rsidP="00324C82">
            <w:pPr>
              <w:jc w:val="both"/>
              <w:rPr>
                <w:rFonts w:ascii="Arial" w:hAnsi="Arial" w:cs="Arial"/>
                <w:b/>
                <w:sz w:val="24"/>
                <w:szCs w:val="24"/>
              </w:rPr>
            </w:pPr>
          </w:p>
          <w:p w:rsidR="00324C82" w:rsidRPr="004B40C1" w:rsidRDefault="00324C82" w:rsidP="00324C82">
            <w:pPr>
              <w:jc w:val="center"/>
              <w:rPr>
                <w:rFonts w:ascii="Arial" w:hAnsi="Arial" w:cs="Arial"/>
                <w:b/>
                <w:sz w:val="24"/>
                <w:szCs w:val="24"/>
              </w:rPr>
            </w:pPr>
            <w:r w:rsidRPr="004B40C1">
              <w:rPr>
                <w:rFonts w:ascii="Arial" w:hAnsi="Arial" w:cs="Arial"/>
                <w:b/>
                <w:sz w:val="24"/>
                <w:szCs w:val="24"/>
              </w:rPr>
              <w:t>MUNICIPIO DE GUADALAJARA</w:t>
            </w:r>
          </w:p>
          <w:p w:rsidR="00324C82" w:rsidRPr="004B40C1" w:rsidRDefault="00324C82" w:rsidP="00324C82">
            <w:pPr>
              <w:jc w:val="center"/>
              <w:rPr>
                <w:rFonts w:ascii="Arial" w:hAnsi="Arial" w:cs="Arial"/>
                <w:b/>
                <w:sz w:val="24"/>
                <w:szCs w:val="24"/>
              </w:rPr>
            </w:pPr>
            <w:r w:rsidRPr="004B40C1">
              <w:rPr>
                <w:rFonts w:ascii="Arial" w:hAnsi="Arial" w:cs="Arial"/>
                <w:b/>
                <w:sz w:val="24"/>
                <w:szCs w:val="24"/>
              </w:rPr>
              <w:t>NOTAS A LOS ESTADOS FINANCIEROS</w:t>
            </w:r>
          </w:p>
          <w:p w:rsidR="00324C82" w:rsidRPr="00F5155D" w:rsidRDefault="00324C82" w:rsidP="00324C82">
            <w:pPr>
              <w:jc w:val="center"/>
              <w:rPr>
                <w:rFonts w:ascii="Arial" w:hAnsi="Arial" w:cs="Arial"/>
                <w:b/>
                <w:szCs w:val="24"/>
              </w:rPr>
            </w:pPr>
            <w:r w:rsidRPr="00F5155D">
              <w:rPr>
                <w:rFonts w:ascii="Arial" w:hAnsi="Arial" w:cs="Arial"/>
                <w:b/>
                <w:szCs w:val="24"/>
              </w:rPr>
              <w:t>DEL 1 DE ENERO 2025 AL 3</w:t>
            </w:r>
            <w:r w:rsidR="002427E2" w:rsidRPr="00F5155D">
              <w:rPr>
                <w:rFonts w:ascii="Arial" w:hAnsi="Arial" w:cs="Arial"/>
                <w:b/>
                <w:szCs w:val="24"/>
              </w:rPr>
              <w:t>0</w:t>
            </w:r>
            <w:r w:rsidRPr="00F5155D">
              <w:rPr>
                <w:rFonts w:ascii="Arial" w:hAnsi="Arial" w:cs="Arial"/>
                <w:b/>
                <w:szCs w:val="24"/>
              </w:rPr>
              <w:t xml:space="preserve"> DE </w:t>
            </w:r>
            <w:r w:rsidR="00F5155D" w:rsidRPr="00F5155D">
              <w:rPr>
                <w:rFonts w:ascii="Arial" w:hAnsi="Arial" w:cs="Arial"/>
                <w:b/>
                <w:szCs w:val="24"/>
              </w:rPr>
              <w:t>SEPTIEMBRE</w:t>
            </w:r>
            <w:r w:rsidRPr="00F5155D">
              <w:rPr>
                <w:rFonts w:ascii="Arial" w:hAnsi="Arial" w:cs="Arial"/>
                <w:b/>
                <w:szCs w:val="24"/>
              </w:rPr>
              <w:t xml:space="preserve"> DE 2025</w:t>
            </w:r>
          </w:p>
          <w:p w:rsidR="00324C82" w:rsidRPr="004B40C1" w:rsidRDefault="00324C82" w:rsidP="00324C82">
            <w:pPr>
              <w:jc w:val="both"/>
              <w:rPr>
                <w:rFonts w:ascii="Arial" w:hAnsi="Arial" w:cs="Arial"/>
                <w:b/>
                <w:sz w:val="24"/>
                <w:szCs w:val="24"/>
              </w:rPr>
            </w:pPr>
          </w:p>
        </w:tc>
      </w:tr>
    </w:tbl>
    <w:p w:rsidR="00324C82" w:rsidRPr="004B40C1" w:rsidRDefault="00324C82" w:rsidP="00324C82">
      <w:pPr>
        <w:spacing w:after="0"/>
        <w:jc w:val="both"/>
        <w:rPr>
          <w:rFonts w:ascii="Arial" w:hAnsi="Arial" w:cs="Arial"/>
          <w:b/>
          <w:sz w:val="24"/>
          <w:szCs w:val="24"/>
        </w:rPr>
      </w:pPr>
    </w:p>
    <w:p w:rsidR="0097115F" w:rsidRPr="004B40C1" w:rsidRDefault="0097115F" w:rsidP="00324C82">
      <w:pPr>
        <w:jc w:val="both"/>
        <w:rPr>
          <w:rFonts w:ascii="Arial" w:hAnsi="Arial" w:cs="Arial"/>
          <w:sz w:val="24"/>
          <w:szCs w:val="24"/>
        </w:rPr>
      </w:pPr>
    </w:p>
    <w:p w:rsidR="0097115F" w:rsidRPr="004B40C1" w:rsidRDefault="0097115F" w:rsidP="00324C82">
      <w:pPr>
        <w:jc w:val="both"/>
        <w:rPr>
          <w:rFonts w:ascii="Arial" w:hAnsi="Arial" w:cs="Arial"/>
          <w:sz w:val="24"/>
          <w:szCs w:val="24"/>
        </w:rPr>
      </w:pPr>
      <w:r w:rsidRPr="004B40C1">
        <w:rPr>
          <w:rFonts w:ascii="Arial" w:hAnsi="Arial" w:cs="Arial"/>
          <w:sz w:val="24"/>
          <w:szCs w:val="24"/>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se presentan las notas a los Estados Financieros  al 3</w:t>
      </w:r>
      <w:r w:rsidR="002427E2">
        <w:rPr>
          <w:rFonts w:ascii="Arial" w:hAnsi="Arial" w:cs="Arial"/>
          <w:sz w:val="24"/>
          <w:szCs w:val="24"/>
        </w:rPr>
        <w:t>0</w:t>
      </w:r>
      <w:r w:rsidRPr="004B40C1">
        <w:rPr>
          <w:rFonts w:ascii="Arial" w:hAnsi="Arial" w:cs="Arial"/>
          <w:sz w:val="24"/>
          <w:szCs w:val="24"/>
        </w:rPr>
        <w:t xml:space="preserve"> de </w:t>
      </w:r>
      <w:r w:rsidR="00F5155D">
        <w:rPr>
          <w:rFonts w:ascii="Arial" w:hAnsi="Arial" w:cs="Arial"/>
          <w:sz w:val="24"/>
          <w:szCs w:val="24"/>
        </w:rPr>
        <w:t>Septiembre</w:t>
      </w:r>
      <w:r w:rsidRPr="004B40C1">
        <w:rPr>
          <w:rFonts w:ascii="Arial" w:hAnsi="Arial" w:cs="Arial"/>
          <w:sz w:val="24"/>
          <w:szCs w:val="24"/>
        </w:rPr>
        <w:t xml:space="preserve"> de 2025.</w:t>
      </w:r>
    </w:p>
    <w:p w:rsidR="0097115F" w:rsidRPr="004B40C1" w:rsidRDefault="0097115F" w:rsidP="00324C82">
      <w:pPr>
        <w:jc w:val="both"/>
        <w:rPr>
          <w:rFonts w:ascii="Arial" w:hAnsi="Arial" w:cs="Arial"/>
          <w:sz w:val="24"/>
          <w:szCs w:val="24"/>
        </w:rPr>
      </w:pPr>
    </w:p>
    <w:p w:rsidR="0097115F" w:rsidRPr="004B40C1" w:rsidRDefault="002A1486" w:rsidP="009449F7">
      <w:pPr>
        <w:jc w:val="center"/>
        <w:rPr>
          <w:rFonts w:ascii="Arial" w:hAnsi="Arial" w:cs="Arial"/>
          <w:b/>
          <w:sz w:val="24"/>
          <w:szCs w:val="24"/>
        </w:rPr>
      </w:pPr>
      <w:r w:rsidRPr="004B40C1">
        <w:rPr>
          <w:rFonts w:ascii="Arial" w:hAnsi="Arial" w:cs="Arial"/>
          <w:b/>
          <w:sz w:val="24"/>
          <w:szCs w:val="24"/>
        </w:rPr>
        <w:t>A</w:t>
      </w:r>
      <w:r w:rsidR="009B7B98">
        <w:rPr>
          <w:rFonts w:ascii="Arial" w:hAnsi="Arial" w:cs="Arial"/>
          <w:b/>
          <w:sz w:val="24"/>
          <w:szCs w:val="24"/>
        </w:rPr>
        <w:t>)</w:t>
      </w:r>
      <w:r w:rsidRPr="004B40C1">
        <w:rPr>
          <w:rFonts w:ascii="Arial" w:hAnsi="Arial" w:cs="Arial"/>
          <w:b/>
          <w:sz w:val="24"/>
          <w:szCs w:val="24"/>
        </w:rPr>
        <w:t xml:space="preserve"> </w:t>
      </w:r>
      <w:r w:rsidR="009449F7" w:rsidRPr="004B40C1">
        <w:rPr>
          <w:rFonts w:ascii="Arial" w:hAnsi="Arial" w:cs="Arial"/>
          <w:b/>
          <w:sz w:val="24"/>
          <w:szCs w:val="24"/>
        </w:rPr>
        <w:t>NOTAS DE GESTIÓN ADMINISTRATIVA</w:t>
      </w:r>
    </w:p>
    <w:p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t xml:space="preserve">1. </w:t>
      </w:r>
      <w:r w:rsidR="0097115F" w:rsidRPr="004B40C1">
        <w:rPr>
          <w:rFonts w:ascii="Arial" w:hAnsi="Arial" w:cs="Arial"/>
          <w:b/>
          <w:sz w:val="24"/>
          <w:szCs w:val="24"/>
        </w:rPr>
        <w:t>Autorización e Historia</w:t>
      </w:r>
    </w:p>
    <w:p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a.</w:t>
      </w:r>
      <w:r w:rsidRPr="004B40C1">
        <w:rPr>
          <w:rFonts w:ascii="Arial" w:hAnsi="Arial" w:cs="Arial"/>
          <w:sz w:val="24"/>
          <w:szCs w:val="24"/>
        </w:rPr>
        <w:tab/>
        <w:t>Fecha de creación del ente público</w:t>
      </w:r>
    </w:p>
    <w:p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El 14 de febrero de 1542, la ciudad de Guadalajara fue fundada por cuarta y última vez en el Valle de Atemajac, sobre el margen del río San Juan de Dios.</w:t>
      </w:r>
    </w:p>
    <w:p w:rsidR="0097115F" w:rsidRPr="004B40C1" w:rsidRDefault="0097115F" w:rsidP="00324C82">
      <w:pPr>
        <w:spacing w:after="0"/>
        <w:jc w:val="both"/>
        <w:rPr>
          <w:rFonts w:ascii="Arial" w:hAnsi="Arial" w:cs="Arial"/>
          <w:sz w:val="24"/>
          <w:szCs w:val="24"/>
        </w:rPr>
      </w:pPr>
    </w:p>
    <w:p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b.</w:t>
      </w:r>
      <w:r w:rsidRPr="004B40C1">
        <w:rPr>
          <w:rFonts w:ascii="Arial" w:hAnsi="Arial" w:cs="Arial"/>
          <w:sz w:val="24"/>
          <w:szCs w:val="24"/>
        </w:rPr>
        <w:tab/>
        <w:t>Principales cambios en su estructura</w:t>
      </w:r>
    </w:p>
    <w:p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El municipio lleva la denominación oficial de “Guadalajara”, de conformidad con lo establecido en el artículo 4 numeral 41 de la Ley del Gobierno y la Administración Pública M</w:t>
      </w:r>
      <w:r w:rsidR="00324C82" w:rsidRPr="004B40C1">
        <w:rPr>
          <w:rFonts w:ascii="Arial" w:hAnsi="Arial" w:cs="Arial"/>
          <w:sz w:val="24"/>
          <w:szCs w:val="24"/>
        </w:rPr>
        <w:t>unicipal del Estado de Jalisco.</w:t>
      </w:r>
    </w:p>
    <w:p w:rsidR="00324C82" w:rsidRPr="004B40C1" w:rsidRDefault="00324C82" w:rsidP="00324C82">
      <w:pPr>
        <w:spacing w:after="0"/>
        <w:jc w:val="both"/>
        <w:rPr>
          <w:rFonts w:ascii="Arial" w:hAnsi="Arial" w:cs="Arial"/>
          <w:sz w:val="24"/>
          <w:szCs w:val="24"/>
        </w:rPr>
      </w:pPr>
    </w:p>
    <w:p w:rsidR="00324C82" w:rsidRPr="004B40C1" w:rsidRDefault="0097115F" w:rsidP="00324C82">
      <w:pPr>
        <w:jc w:val="both"/>
        <w:rPr>
          <w:rFonts w:ascii="Arial" w:hAnsi="Arial" w:cs="Arial"/>
          <w:sz w:val="24"/>
          <w:szCs w:val="24"/>
        </w:rPr>
      </w:pPr>
      <w:r w:rsidRPr="004B40C1">
        <w:rPr>
          <w:rFonts w:ascii="Arial" w:hAnsi="Arial" w:cs="Arial"/>
          <w:sz w:val="24"/>
          <w:szCs w:val="24"/>
        </w:rPr>
        <w:t>Se compone con la población que reside en este, con el territorio que le corresponde, así como con su gobierno emanado democráticamente y constituido en los términos de lo dispuesto en la Constitución Política de los Estados Unidos Mexicanos, en la particular del Estado de Jalisco y en</w:t>
      </w:r>
      <w:r w:rsidR="00324C82" w:rsidRPr="004B40C1">
        <w:rPr>
          <w:rFonts w:ascii="Arial" w:hAnsi="Arial" w:cs="Arial"/>
          <w:sz w:val="24"/>
          <w:szCs w:val="24"/>
        </w:rPr>
        <w:t xml:space="preserve"> las leyes que de ambas emanan.</w:t>
      </w:r>
    </w:p>
    <w:p w:rsidR="0097115F" w:rsidRPr="004B40C1" w:rsidRDefault="0097115F" w:rsidP="00324C82">
      <w:pPr>
        <w:jc w:val="both"/>
        <w:rPr>
          <w:rFonts w:ascii="Arial" w:hAnsi="Arial" w:cs="Arial"/>
          <w:sz w:val="24"/>
          <w:szCs w:val="24"/>
        </w:rPr>
      </w:pPr>
      <w:r w:rsidRPr="004B40C1">
        <w:rPr>
          <w:rFonts w:ascii="Arial" w:hAnsi="Arial" w:cs="Arial"/>
          <w:sz w:val="24"/>
          <w:szCs w:val="24"/>
        </w:rPr>
        <w:t>Su Gobierno Municipal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w:t>
      </w:r>
    </w:p>
    <w:p w:rsidR="0097115F" w:rsidRPr="004B40C1" w:rsidRDefault="0097115F" w:rsidP="00324C82">
      <w:pPr>
        <w:jc w:val="both"/>
        <w:rPr>
          <w:rFonts w:ascii="Arial" w:hAnsi="Arial" w:cs="Arial"/>
          <w:sz w:val="24"/>
          <w:szCs w:val="24"/>
        </w:rPr>
      </w:pPr>
    </w:p>
    <w:p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lastRenderedPageBreak/>
        <w:t xml:space="preserve">2. </w:t>
      </w:r>
      <w:r w:rsidR="0097115F" w:rsidRPr="004B40C1">
        <w:rPr>
          <w:rFonts w:ascii="Arial" w:hAnsi="Arial" w:cs="Arial"/>
          <w:b/>
          <w:sz w:val="24"/>
          <w:szCs w:val="24"/>
        </w:rPr>
        <w:t>Panorama Económico y Financiero</w:t>
      </w:r>
    </w:p>
    <w:p w:rsidR="0097115F" w:rsidRPr="004B40C1" w:rsidRDefault="0097115F" w:rsidP="00324C82">
      <w:pPr>
        <w:jc w:val="both"/>
        <w:rPr>
          <w:rFonts w:ascii="Arial" w:hAnsi="Arial" w:cs="Arial"/>
          <w:sz w:val="24"/>
          <w:szCs w:val="24"/>
        </w:rPr>
      </w:pPr>
      <w:r w:rsidRPr="004B40C1">
        <w:rPr>
          <w:rFonts w:ascii="Arial" w:hAnsi="Arial" w:cs="Arial"/>
          <w:sz w:val="24"/>
          <w:szCs w:val="24"/>
        </w:rPr>
        <w:t>En el marco de los escenarios nacional y local del Estado de Jalisco, el municipio de Guadalajara, plantea el manejo de las finanzas públicas, con base para la formulación del Presupuesto Público para el ejercicio 2025, enfocándose en promover, respetar, proteger y garantizar los derechos humanos de conformidad con los principios de universalidad, interdependencia, indivisibilidad y progresividad, así como de establecer el principio de paridad de género en la integración y funcionamiento de las dependencias y entidades que conforman la administración pública municipal.</w:t>
      </w:r>
    </w:p>
    <w:p w:rsidR="0097115F" w:rsidRPr="004B40C1" w:rsidRDefault="00921E9A" w:rsidP="00921E9A">
      <w:pPr>
        <w:ind w:left="708"/>
        <w:jc w:val="both"/>
        <w:rPr>
          <w:rFonts w:ascii="Arial" w:hAnsi="Arial" w:cs="Arial"/>
          <w:b/>
          <w:sz w:val="24"/>
          <w:szCs w:val="24"/>
        </w:rPr>
      </w:pPr>
      <w:r w:rsidRPr="004B40C1">
        <w:rPr>
          <w:rFonts w:ascii="Arial" w:hAnsi="Arial" w:cs="Arial"/>
          <w:b/>
          <w:sz w:val="24"/>
          <w:szCs w:val="24"/>
        </w:rPr>
        <w:t xml:space="preserve">3. </w:t>
      </w:r>
      <w:r w:rsidR="0097115F" w:rsidRPr="004B40C1">
        <w:rPr>
          <w:rFonts w:ascii="Arial" w:hAnsi="Arial" w:cs="Arial"/>
          <w:b/>
          <w:sz w:val="24"/>
          <w:szCs w:val="24"/>
        </w:rPr>
        <w:t>Organización y Objeto Social</w:t>
      </w: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a) </w:t>
      </w:r>
      <w:r w:rsidR="0097115F" w:rsidRPr="004B40C1">
        <w:rPr>
          <w:rFonts w:ascii="Arial" w:hAnsi="Arial" w:cs="Arial"/>
          <w:sz w:val="24"/>
          <w:szCs w:val="24"/>
        </w:rPr>
        <w:t>Objeto Social</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libre de Guadalajara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b) </w:t>
      </w:r>
      <w:r w:rsidR="0097115F" w:rsidRPr="004B40C1">
        <w:rPr>
          <w:rFonts w:ascii="Arial" w:hAnsi="Arial" w:cs="Arial"/>
          <w:sz w:val="24"/>
          <w:szCs w:val="24"/>
        </w:rPr>
        <w:t>Principal actividad</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Es el atender lo dispuesto en los artículos 115 fracciones I y II primer párrafo de la Constitución Política de los Estados Unidos Mexicanos; 73 fracciones I, 77 fracción II y 86 párrafo segundo de la Constitución Política del Estado de Jalisco; 37 fracción II, 40 fracción II, 42 fracción V, 44, 60 y 148 de la Ley del Gobierno y la Administración Pública Municipal del Estado de Jalisco.</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c) </w:t>
      </w:r>
      <w:r w:rsidR="0097115F" w:rsidRPr="004B40C1">
        <w:rPr>
          <w:rFonts w:ascii="Arial" w:hAnsi="Arial" w:cs="Arial"/>
          <w:sz w:val="24"/>
          <w:szCs w:val="24"/>
        </w:rPr>
        <w:t>Ejercicio fiscal</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Los ejercicios fiscales del ente público comprenden del 01 de enero al 31 de diciembre de cada año</w:t>
      </w:r>
      <w:r w:rsidR="00921E9A" w:rsidRPr="004B40C1">
        <w:rPr>
          <w:rFonts w:ascii="Arial" w:hAnsi="Arial" w:cs="Arial"/>
          <w:sz w:val="24"/>
          <w:szCs w:val="24"/>
        </w:rPr>
        <w:t>.</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d) </w:t>
      </w:r>
      <w:r w:rsidR="0097115F" w:rsidRPr="004B40C1">
        <w:rPr>
          <w:rFonts w:ascii="Arial" w:hAnsi="Arial" w:cs="Arial"/>
          <w:sz w:val="24"/>
          <w:szCs w:val="24"/>
        </w:rPr>
        <w:t>Régimen jurídico</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Persona Moral sin fines de Lucro</w:t>
      </w:r>
      <w:r w:rsidR="00921E9A" w:rsidRPr="004B40C1">
        <w:rPr>
          <w:rFonts w:ascii="Arial" w:hAnsi="Arial" w:cs="Arial"/>
          <w:sz w:val="24"/>
          <w:szCs w:val="24"/>
        </w:rPr>
        <w:t>.</w:t>
      </w: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e) </w:t>
      </w:r>
      <w:r w:rsidR="0097115F" w:rsidRPr="004B40C1">
        <w:rPr>
          <w:rFonts w:ascii="Arial" w:hAnsi="Arial" w:cs="Arial"/>
          <w:sz w:val="24"/>
          <w:szCs w:val="24"/>
        </w:rPr>
        <w:t>Consideraciones fiscales del ente</w:t>
      </w:r>
    </w:p>
    <w:p w:rsidR="0097115F" w:rsidRDefault="0097115F" w:rsidP="00921E9A">
      <w:pPr>
        <w:spacing w:after="0"/>
        <w:jc w:val="both"/>
        <w:rPr>
          <w:rFonts w:ascii="Arial" w:hAnsi="Arial" w:cs="Arial"/>
          <w:sz w:val="24"/>
          <w:szCs w:val="24"/>
        </w:rPr>
      </w:pPr>
      <w:r w:rsidRPr="004B40C1">
        <w:rPr>
          <w:rFonts w:ascii="Arial" w:hAnsi="Arial" w:cs="Arial"/>
          <w:sz w:val="24"/>
          <w:szCs w:val="24"/>
        </w:rPr>
        <w:t>Las obligaciones fiscales a cargo del Municipio son las determinadas por las leyes fiscales para los contribuyentes clasificados como personas morales con fines no lucrativos.</w:t>
      </w:r>
    </w:p>
    <w:p w:rsidR="004B40C1" w:rsidRDefault="004B40C1" w:rsidP="00921E9A">
      <w:pPr>
        <w:spacing w:after="0"/>
        <w:jc w:val="both"/>
        <w:rPr>
          <w:rFonts w:ascii="Arial" w:hAnsi="Arial" w:cs="Arial"/>
          <w:sz w:val="24"/>
          <w:szCs w:val="24"/>
        </w:rPr>
      </w:pPr>
    </w:p>
    <w:p w:rsidR="004B40C1" w:rsidRPr="004B40C1" w:rsidRDefault="004B40C1" w:rsidP="00921E9A">
      <w:pPr>
        <w:spacing w:after="0"/>
        <w:jc w:val="both"/>
        <w:rPr>
          <w:rFonts w:ascii="Arial" w:hAnsi="Arial" w:cs="Arial"/>
          <w:sz w:val="24"/>
          <w:szCs w:val="24"/>
        </w:rPr>
      </w:pPr>
    </w:p>
    <w:p w:rsidR="0097115F" w:rsidRPr="004B40C1" w:rsidRDefault="0097115F" w:rsidP="00921E9A">
      <w:pPr>
        <w:spacing w:after="0"/>
        <w:jc w:val="both"/>
        <w:rPr>
          <w:rFonts w:ascii="Arial" w:hAnsi="Arial" w:cs="Arial"/>
          <w:sz w:val="24"/>
          <w:szCs w:val="24"/>
        </w:rPr>
      </w:pPr>
    </w:p>
    <w:p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lastRenderedPageBreak/>
        <w:t xml:space="preserve">f) </w:t>
      </w:r>
      <w:r w:rsidR="0097115F" w:rsidRPr="004B40C1">
        <w:rPr>
          <w:rFonts w:ascii="Arial" w:hAnsi="Arial" w:cs="Arial"/>
          <w:sz w:val="24"/>
          <w:szCs w:val="24"/>
        </w:rPr>
        <w:t>Estructura organizacional básica</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 xml:space="preserve">De conformidad con el Código de Gobierno Municipal de Guadalajara, la estructura organizacional básica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p>
    <w:p w:rsidR="0097115F" w:rsidRPr="004B40C1" w:rsidRDefault="0097115F" w:rsidP="00921E9A">
      <w:pPr>
        <w:spacing w:after="0"/>
        <w:jc w:val="both"/>
        <w:rPr>
          <w:rFonts w:ascii="Arial" w:hAnsi="Arial" w:cs="Arial"/>
          <w:sz w:val="24"/>
          <w:szCs w:val="24"/>
        </w:rPr>
      </w:pPr>
    </w:p>
    <w:p w:rsidR="00921E9A"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g) </w:t>
      </w:r>
      <w:r w:rsidR="0097115F" w:rsidRPr="004B40C1">
        <w:rPr>
          <w:rFonts w:ascii="Arial" w:hAnsi="Arial" w:cs="Arial"/>
          <w:sz w:val="24"/>
          <w:szCs w:val="24"/>
        </w:rPr>
        <w:t xml:space="preserve">Fideicomisos, mandatos y análogos de los cuales es fideicomitente o </w:t>
      </w:r>
      <w:r w:rsidR="00BC443E">
        <w:rPr>
          <w:rFonts w:ascii="Arial" w:hAnsi="Arial" w:cs="Arial"/>
          <w:sz w:val="24"/>
          <w:szCs w:val="24"/>
        </w:rPr>
        <w:t>fideicomisario</w:t>
      </w:r>
    </w:p>
    <w:p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de Guadalajara cuenta con fideicomisos sin estructura para el cumplimiento de sus fines, y se integra a su patrimonio conforme la normatividad respectiva.</w:t>
      </w:r>
    </w:p>
    <w:p w:rsidR="00921E9A" w:rsidRPr="004B40C1" w:rsidRDefault="00921E9A" w:rsidP="00921E9A">
      <w:pPr>
        <w:spacing w:after="0"/>
        <w:jc w:val="both"/>
        <w:rPr>
          <w:rFonts w:ascii="Arial" w:hAnsi="Arial" w:cs="Arial"/>
          <w:sz w:val="24"/>
          <w:szCs w:val="24"/>
        </w:rPr>
      </w:pP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irrevocable para la administración de un fondo para el pago de indemnizaciones de enfermedades por riesgos de trabajo.</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Fondo Guadalajara de Fomento Empresarial</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Puerta Guadalajara</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INVEX 155</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BBVA 403248-8</w:t>
      </w:r>
    </w:p>
    <w:p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 xml:space="preserve">Fideicomiso </w:t>
      </w:r>
      <w:proofErr w:type="spellStart"/>
      <w:r w:rsidRPr="004B40C1">
        <w:rPr>
          <w:rFonts w:ascii="Arial" w:hAnsi="Arial" w:cs="Arial"/>
          <w:sz w:val="24"/>
          <w:szCs w:val="24"/>
        </w:rPr>
        <w:t>Multiva</w:t>
      </w:r>
      <w:proofErr w:type="spellEnd"/>
      <w:r w:rsidRPr="004B40C1">
        <w:rPr>
          <w:rFonts w:ascii="Arial" w:hAnsi="Arial" w:cs="Arial"/>
          <w:sz w:val="24"/>
          <w:szCs w:val="24"/>
        </w:rPr>
        <w:t xml:space="preserve"> 437-2</w:t>
      </w:r>
    </w:p>
    <w:p w:rsidR="00921E9A" w:rsidRPr="004B40C1" w:rsidRDefault="00921E9A" w:rsidP="00921E9A">
      <w:pPr>
        <w:spacing w:after="0"/>
        <w:jc w:val="both"/>
        <w:rPr>
          <w:rFonts w:ascii="Arial" w:hAnsi="Arial" w:cs="Arial"/>
          <w:sz w:val="24"/>
          <w:szCs w:val="24"/>
        </w:rPr>
      </w:pPr>
    </w:p>
    <w:p w:rsidR="0097115F" w:rsidRPr="004B40C1" w:rsidRDefault="00921E9A" w:rsidP="00921E9A">
      <w:pPr>
        <w:ind w:left="360"/>
        <w:jc w:val="both"/>
        <w:rPr>
          <w:rFonts w:ascii="Arial" w:hAnsi="Arial" w:cs="Arial"/>
          <w:b/>
          <w:sz w:val="24"/>
          <w:szCs w:val="24"/>
        </w:rPr>
      </w:pPr>
      <w:r w:rsidRPr="004B40C1">
        <w:rPr>
          <w:rFonts w:ascii="Arial" w:hAnsi="Arial" w:cs="Arial"/>
          <w:b/>
          <w:sz w:val="24"/>
          <w:szCs w:val="24"/>
        </w:rPr>
        <w:t xml:space="preserve">4. </w:t>
      </w:r>
      <w:r w:rsidR="0097115F" w:rsidRPr="004B40C1">
        <w:rPr>
          <w:rFonts w:ascii="Arial" w:hAnsi="Arial" w:cs="Arial"/>
          <w:b/>
          <w:sz w:val="24"/>
          <w:szCs w:val="24"/>
        </w:rPr>
        <w:t>Bases de Preparación de los Estados Financieros</w:t>
      </w:r>
    </w:p>
    <w:p w:rsidR="0097115F" w:rsidRPr="004B40C1" w:rsidRDefault="0097115F" w:rsidP="00324C82">
      <w:pPr>
        <w:jc w:val="both"/>
        <w:rPr>
          <w:rFonts w:ascii="Arial" w:hAnsi="Arial" w:cs="Arial"/>
          <w:sz w:val="24"/>
          <w:szCs w:val="24"/>
        </w:rPr>
      </w:pPr>
      <w:r w:rsidRPr="004B40C1">
        <w:rPr>
          <w:rFonts w:ascii="Arial" w:hAnsi="Arial" w:cs="Arial"/>
          <w:sz w:val="24"/>
          <w:szCs w:val="24"/>
        </w:rPr>
        <w:t>Los Estados Financieros, así como la información contable, se encuentran expresados en moneda nacional y han sido elaborados de conformidad con las disposiciones de la Ley General de Contabilidad Gubernamental emitidos por el Consejo Nacional de Armonización Contable (CONAC), así como el Consejo de Armonización Contable del Estado de Jalisco (CACEJ).</w:t>
      </w:r>
    </w:p>
    <w:p w:rsidR="00921E9A" w:rsidRPr="004B40C1" w:rsidRDefault="0097115F" w:rsidP="00324C82">
      <w:pPr>
        <w:jc w:val="both"/>
        <w:rPr>
          <w:rFonts w:ascii="Arial" w:hAnsi="Arial" w:cs="Arial"/>
          <w:b/>
          <w:sz w:val="24"/>
          <w:szCs w:val="24"/>
        </w:rPr>
      </w:pPr>
      <w:r w:rsidRPr="004B40C1">
        <w:rPr>
          <w:rFonts w:ascii="Arial" w:hAnsi="Arial" w:cs="Arial"/>
          <w:b/>
          <w:sz w:val="24"/>
          <w:szCs w:val="24"/>
        </w:rPr>
        <w:t>Postulados básicos.</w:t>
      </w:r>
    </w:p>
    <w:p w:rsidR="0097115F" w:rsidRPr="004B40C1" w:rsidRDefault="0097115F" w:rsidP="00324C82">
      <w:pPr>
        <w:jc w:val="both"/>
        <w:rPr>
          <w:rFonts w:ascii="Arial" w:hAnsi="Arial" w:cs="Arial"/>
          <w:sz w:val="24"/>
          <w:szCs w:val="24"/>
        </w:rPr>
      </w:pPr>
      <w:r w:rsidRPr="004B40C1">
        <w:rPr>
          <w:rFonts w:ascii="Arial" w:hAnsi="Arial" w:cs="Arial"/>
          <w:sz w:val="24"/>
          <w:szCs w:val="24"/>
        </w:rPr>
        <w:t>Los postulados básicos que aplica el Municipio de Guadalajara son los siguientes:</w:t>
      </w:r>
    </w:p>
    <w:p w:rsidR="004B40C1" w:rsidRDefault="00921E9A" w:rsidP="00222F79">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Sustancia Económica.</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Es el reconocimiento contable de las transacciones, transformaciones internas y otros eventos, que afectan económicamente al ente público y delimitan la operación del Sistema de Contabilidad Gubernamental (SCG).</w:t>
      </w:r>
    </w:p>
    <w:p w:rsidR="00222F79" w:rsidRDefault="00222F79" w:rsidP="00222F79">
      <w:pPr>
        <w:spacing w:after="0"/>
        <w:jc w:val="both"/>
        <w:rPr>
          <w:rFonts w:ascii="Arial" w:hAnsi="Arial" w:cs="Arial"/>
          <w:sz w:val="24"/>
          <w:szCs w:val="24"/>
        </w:rPr>
      </w:pPr>
    </w:p>
    <w:p w:rsidR="00222F79" w:rsidRDefault="00222F79" w:rsidP="00222F79">
      <w:pPr>
        <w:spacing w:after="0"/>
        <w:jc w:val="both"/>
        <w:rPr>
          <w:rFonts w:ascii="Arial" w:hAnsi="Arial" w:cs="Arial"/>
          <w:sz w:val="24"/>
          <w:szCs w:val="24"/>
        </w:rPr>
      </w:pPr>
    </w:p>
    <w:p w:rsidR="002427E2" w:rsidRDefault="002427E2" w:rsidP="00222F79">
      <w:pPr>
        <w:spacing w:after="0"/>
        <w:jc w:val="both"/>
        <w:rPr>
          <w:rFonts w:ascii="Arial" w:hAnsi="Arial" w:cs="Arial"/>
          <w:sz w:val="24"/>
          <w:szCs w:val="24"/>
        </w:rPr>
      </w:pPr>
    </w:p>
    <w:p w:rsidR="002427E2" w:rsidRPr="004B40C1" w:rsidRDefault="002427E2" w:rsidP="00222F79">
      <w:pPr>
        <w:spacing w:after="0"/>
        <w:jc w:val="both"/>
        <w:rPr>
          <w:rFonts w:ascii="Arial" w:hAnsi="Arial" w:cs="Arial"/>
          <w:sz w:val="24"/>
          <w:szCs w:val="24"/>
        </w:rPr>
      </w:pPr>
    </w:p>
    <w:p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2. </w:t>
      </w:r>
      <w:r w:rsidR="0097115F" w:rsidRPr="004B40C1">
        <w:rPr>
          <w:rFonts w:ascii="Arial" w:hAnsi="Arial" w:cs="Arial"/>
          <w:sz w:val="24"/>
          <w:szCs w:val="24"/>
          <w:u w:val="single"/>
        </w:rPr>
        <w:t>Entes Públicos.</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222F79" w:rsidRPr="004B40C1" w:rsidRDefault="00222F79" w:rsidP="00222F79">
      <w:pPr>
        <w:spacing w:after="0"/>
        <w:jc w:val="both"/>
        <w:rPr>
          <w:rFonts w:ascii="Arial" w:hAnsi="Arial" w:cs="Arial"/>
          <w:sz w:val="24"/>
          <w:szCs w:val="24"/>
        </w:rPr>
      </w:pPr>
    </w:p>
    <w:p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3. </w:t>
      </w:r>
      <w:r w:rsidR="0097115F" w:rsidRPr="004B40C1">
        <w:rPr>
          <w:rFonts w:ascii="Arial" w:hAnsi="Arial" w:cs="Arial"/>
          <w:sz w:val="24"/>
          <w:szCs w:val="24"/>
          <w:u w:val="single"/>
        </w:rPr>
        <w:t>Existencia Permanente</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actividad del ente público se establece por tiempo indefinido, saldo disposición legal en la que se especifique lo contrario.</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rPr>
        <w:t xml:space="preserve">4. </w:t>
      </w:r>
      <w:r w:rsidR="0097115F" w:rsidRPr="004B40C1">
        <w:rPr>
          <w:rFonts w:ascii="Arial" w:hAnsi="Arial" w:cs="Arial"/>
          <w:sz w:val="24"/>
          <w:szCs w:val="24"/>
          <w:u w:val="single"/>
        </w:rPr>
        <w:t>Revelación Suficiente.</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estados y la información financiera deben mostrar amplia y claramente la situación financiera y los resultados del ente público.</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5. </w:t>
      </w:r>
      <w:r w:rsidR="0097115F" w:rsidRPr="004B40C1">
        <w:rPr>
          <w:rFonts w:ascii="Arial" w:hAnsi="Arial" w:cs="Arial"/>
          <w:sz w:val="24"/>
          <w:szCs w:val="24"/>
          <w:u w:val="single"/>
        </w:rPr>
        <w:t>Importancia Relativa.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debe mostrar los aspectos importantes de la entidad que fueron reconocidos contablemente.</w:t>
      </w:r>
    </w:p>
    <w:p w:rsidR="00222F79" w:rsidRPr="004B40C1" w:rsidRDefault="00222F79"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6.</w:t>
      </w:r>
      <w:r w:rsidR="0007481F" w:rsidRPr="004B40C1">
        <w:rPr>
          <w:rFonts w:ascii="Arial" w:hAnsi="Arial" w:cs="Arial"/>
          <w:sz w:val="24"/>
          <w:szCs w:val="24"/>
          <w:u w:val="single"/>
        </w:rPr>
        <w:t xml:space="preserve"> </w:t>
      </w:r>
      <w:r w:rsidRPr="004B40C1">
        <w:rPr>
          <w:rFonts w:ascii="Arial" w:hAnsi="Arial" w:cs="Arial"/>
          <w:sz w:val="24"/>
          <w:szCs w:val="24"/>
          <w:u w:val="single"/>
        </w:rPr>
        <w:t>Registro e Integración Presupuestaria.</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presupuestaria de los entes públicos se integra en la contabilidad en los mismos términos que se presentan en la Ley de Ingresos y en el Decreto del Presupuesto de Egresos, de acuerdo con la naturaleza económica que le corresponda. El registro presupuestario del ingreso y del egreso en los entes públicos se debe reflejar en la contabilidad, considerando sus efectos patrimoniales y su vinculación con las etapas presupuestarias correspondientes.</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7. </w:t>
      </w:r>
      <w:r w:rsidR="0097115F" w:rsidRPr="004B40C1">
        <w:rPr>
          <w:rFonts w:ascii="Arial" w:hAnsi="Arial" w:cs="Arial"/>
          <w:sz w:val="24"/>
          <w:szCs w:val="24"/>
          <w:u w:val="single"/>
        </w:rPr>
        <w:t>Consolidación de la Información Financiera.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rsidR="00222F79" w:rsidRDefault="00222F79" w:rsidP="00222F79">
      <w:pPr>
        <w:spacing w:after="0"/>
        <w:jc w:val="both"/>
        <w:rPr>
          <w:rFonts w:ascii="Arial" w:hAnsi="Arial" w:cs="Arial"/>
          <w:sz w:val="24"/>
          <w:szCs w:val="24"/>
        </w:rPr>
      </w:pPr>
    </w:p>
    <w:p w:rsidR="00222F79" w:rsidRDefault="00222F79" w:rsidP="00222F79">
      <w:pPr>
        <w:spacing w:after="0"/>
        <w:jc w:val="both"/>
        <w:rPr>
          <w:rFonts w:ascii="Arial" w:hAnsi="Arial" w:cs="Arial"/>
          <w:sz w:val="24"/>
          <w:szCs w:val="24"/>
        </w:rPr>
      </w:pPr>
    </w:p>
    <w:p w:rsidR="002427E2" w:rsidRDefault="002427E2" w:rsidP="00222F79">
      <w:pPr>
        <w:spacing w:after="0"/>
        <w:jc w:val="both"/>
        <w:rPr>
          <w:rFonts w:ascii="Arial" w:hAnsi="Arial" w:cs="Arial"/>
          <w:sz w:val="24"/>
          <w:szCs w:val="24"/>
        </w:rPr>
      </w:pPr>
    </w:p>
    <w:p w:rsidR="002427E2" w:rsidRPr="004B40C1" w:rsidRDefault="002427E2"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8.</w:t>
      </w:r>
      <w:r w:rsidR="0007481F" w:rsidRPr="004B40C1">
        <w:rPr>
          <w:rFonts w:ascii="Arial" w:hAnsi="Arial" w:cs="Arial"/>
          <w:sz w:val="24"/>
          <w:szCs w:val="24"/>
          <w:u w:val="single"/>
        </w:rPr>
        <w:t xml:space="preserve"> </w:t>
      </w:r>
      <w:r w:rsidRPr="004B40C1">
        <w:rPr>
          <w:rFonts w:ascii="Arial" w:hAnsi="Arial" w:cs="Arial"/>
          <w:sz w:val="24"/>
          <w:szCs w:val="24"/>
          <w:u w:val="single"/>
        </w:rPr>
        <w:t>Devengo Contable.</w:t>
      </w:r>
      <w:r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9. </w:t>
      </w:r>
      <w:r w:rsidR="0097115F" w:rsidRPr="004B40C1">
        <w:rPr>
          <w:rFonts w:ascii="Arial" w:hAnsi="Arial" w:cs="Arial"/>
          <w:sz w:val="24"/>
          <w:szCs w:val="24"/>
          <w:u w:val="single"/>
        </w:rPr>
        <w:t>Valuación.</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Todos los eventos que afecten económicamente al ente público deben ser cuantificados en términos monetarios y se registrarán al costo histórico o al valor económico más objetivo registrándose en moneda nacional.</w:t>
      </w:r>
    </w:p>
    <w:p w:rsidR="00222F79" w:rsidRPr="004B40C1" w:rsidRDefault="00222F79" w:rsidP="00222F79">
      <w:pPr>
        <w:spacing w:after="0"/>
        <w:jc w:val="both"/>
        <w:rPr>
          <w:rFonts w:ascii="Arial" w:hAnsi="Arial" w:cs="Arial"/>
          <w:sz w:val="24"/>
          <w:szCs w:val="24"/>
        </w:rPr>
      </w:pPr>
    </w:p>
    <w:p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10. </w:t>
      </w:r>
      <w:r w:rsidR="0097115F" w:rsidRPr="004B40C1">
        <w:rPr>
          <w:rFonts w:ascii="Arial" w:hAnsi="Arial" w:cs="Arial"/>
          <w:sz w:val="24"/>
          <w:szCs w:val="24"/>
          <w:u w:val="single"/>
        </w:rPr>
        <w:t>Dualidad Económica.</w:t>
      </w:r>
      <w:r w:rsidR="0097115F" w:rsidRPr="004B40C1">
        <w:rPr>
          <w:rFonts w:ascii="Arial" w:hAnsi="Arial" w:cs="Arial"/>
          <w:sz w:val="24"/>
          <w:szCs w:val="24"/>
        </w:rPr>
        <w:t xml:space="preserve"> </w:t>
      </w:r>
    </w:p>
    <w:p w:rsidR="0097115F" w:rsidRDefault="0097115F" w:rsidP="00222F79">
      <w:pPr>
        <w:spacing w:after="0"/>
        <w:jc w:val="both"/>
        <w:rPr>
          <w:rFonts w:ascii="Arial" w:hAnsi="Arial" w:cs="Arial"/>
          <w:sz w:val="24"/>
          <w:szCs w:val="24"/>
        </w:rPr>
      </w:pPr>
      <w:r w:rsidRPr="004B40C1">
        <w:rPr>
          <w:rFonts w:ascii="Arial" w:hAnsi="Arial" w:cs="Arial"/>
          <w:sz w:val="24"/>
          <w:szCs w:val="24"/>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222F79" w:rsidRPr="004B40C1" w:rsidRDefault="00222F79" w:rsidP="00222F79">
      <w:pPr>
        <w:spacing w:after="0"/>
        <w:jc w:val="both"/>
        <w:rPr>
          <w:rFonts w:ascii="Arial" w:hAnsi="Arial" w:cs="Arial"/>
          <w:sz w:val="24"/>
          <w:szCs w:val="24"/>
        </w:rPr>
      </w:pPr>
    </w:p>
    <w:p w:rsidR="00222F79" w:rsidRDefault="0097115F" w:rsidP="00222F79">
      <w:pPr>
        <w:spacing w:after="0"/>
        <w:jc w:val="both"/>
        <w:rPr>
          <w:rFonts w:ascii="Arial" w:hAnsi="Arial" w:cs="Arial"/>
          <w:sz w:val="24"/>
          <w:szCs w:val="24"/>
        </w:rPr>
      </w:pPr>
      <w:r w:rsidRPr="004B40C1">
        <w:rPr>
          <w:rFonts w:ascii="Arial" w:hAnsi="Arial" w:cs="Arial"/>
          <w:sz w:val="24"/>
          <w:szCs w:val="24"/>
          <w:u w:val="single"/>
        </w:rPr>
        <w:t>11.</w:t>
      </w:r>
      <w:r w:rsidR="0007481F" w:rsidRPr="004B40C1">
        <w:rPr>
          <w:rFonts w:ascii="Arial" w:hAnsi="Arial" w:cs="Arial"/>
          <w:sz w:val="24"/>
          <w:szCs w:val="24"/>
          <w:u w:val="single"/>
        </w:rPr>
        <w:t xml:space="preserve"> </w:t>
      </w:r>
      <w:r w:rsidRPr="004B40C1">
        <w:rPr>
          <w:rFonts w:ascii="Arial" w:hAnsi="Arial" w:cs="Arial"/>
          <w:sz w:val="24"/>
          <w:szCs w:val="24"/>
          <w:u w:val="single"/>
        </w:rPr>
        <w:t>Consistencia.</w:t>
      </w:r>
      <w:r w:rsidRPr="004B40C1">
        <w:rPr>
          <w:rFonts w:ascii="Arial" w:hAnsi="Arial" w:cs="Arial"/>
          <w:sz w:val="24"/>
          <w:szCs w:val="24"/>
        </w:rPr>
        <w:t xml:space="preserve"> </w:t>
      </w:r>
    </w:p>
    <w:p w:rsidR="0097115F" w:rsidRPr="004B40C1" w:rsidRDefault="0097115F" w:rsidP="00222F79">
      <w:pPr>
        <w:spacing w:after="0"/>
        <w:jc w:val="both"/>
        <w:rPr>
          <w:rFonts w:ascii="Arial" w:hAnsi="Arial" w:cs="Arial"/>
          <w:sz w:val="24"/>
          <w:szCs w:val="24"/>
        </w:rPr>
      </w:pPr>
      <w:r w:rsidRPr="004B40C1">
        <w:rPr>
          <w:rFonts w:ascii="Arial" w:hAnsi="Arial" w:cs="Arial"/>
          <w:sz w:val="24"/>
          <w:szCs w:val="24"/>
        </w:rPr>
        <w:t>Ante la existencia de operaciones similares en un ente público, debe corresponder un mismo tratamiento contable, el cual debe permanecer a través del tiempo, en tanto no cambie la esencia económica de las operaciones</w:t>
      </w:r>
      <w:r w:rsidR="0007481F" w:rsidRPr="004B40C1">
        <w:rPr>
          <w:rFonts w:ascii="Arial" w:hAnsi="Arial" w:cs="Arial"/>
          <w:sz w:val="24"/>
          <w:szCs w:val="24"/>
        </w:rPr>
        <w:t>.</w:t>
      </w:r>
    </w:p>
    <w:p w:rsidR="0097115F" w:rsidRDefault="0097115F" w:rsidP="00324C82">
      <w:pPr>
        <w:jc w:val="both"/>
        <w:rPr>
          <w:rFonts w:ascii="Arial" w:hAnsi="Arial" w:cs="Arial"/>
          <w:sz w:val="24"/>
          <w:szCs w:val="24"/>
        </w:rPr>
      </w:pPr>
      <w:r w:rsidRPr="004B40C1">
        <w:rPr>
          <w:rFonts w:ascii="Arial" w:hAnsi="Arial" w:cs="Arial"/>
          <w:sz w:val="24"/>
          <w:szCs w:val="24"/>
        </w:rPr>
        <w:t>Normatividad supletoria. En virtud de la normatividad emitida por el CONAC, el Municipio de Guadalajara no ha requerido la aplicación de normatividad supletoria en materia de Contabilidad Gubernamental.</w:t>
      </w:r>
    </w:p>
    <w:p w:rsidR="0097115F" w:rsidRPr="004B40C1" w:rsidRDefault="0007481F" w:rsidP="0007481F">
      <w:pPr>
        <w:ind w:left="708"/>
        <w:jc w:val="both"/>
        <w:rPr>
          <w:rFonts w:ascii="Arial" w:hAnsi="Arial" w:cs="Arial"/>
          <w:b/>
          <w:sz w:val="24"/>
          <w:szCs w:val="24"/>
        </w:rPr>
      </w:pPr>
      <w:r w:rsidRPr="004B40C1">
        <w:rPr>
          <w:rFonts w:ascii="Arial" w:hAnsi="Arial" w:cs="Arial"/>
          <w:b/>
          <w:sz w:val="24"/>
          <w:szCs w:val="24"/>
        </w:rPr>
        <w:t xml:space="preserve">5. </w:t>
      </w:r>
      <w:r w:rsidR="0097115F" w:rsidRPr="004B40C1">
        <w:rPr>
          <w:rFonts w:ascii="Arial" w:hAnsi="Arial" w:cs="Arial"/>
          <w:b/>
          <w:sz w:val="24"/>
          <w:szCs w:val="24"/>
        </w:rPr>
        <w:t>Políticas de Contabilidad Significativas</w:t>
      </w:r>
    </w:p>
    <w:p w:rsidR="0097115F" w:rsidRPr="004B40C1" w:rsidRDefault="0097115F" w:rsidP="00324C82">
      <w:pPr>
        <w:jc w:val="both"/>
        <w:rPr>
          <w:rFonts w:ascii="Arial" w:hAnsi="Arial" w:cs="Arial"/>
          <w:sz w:val="24"/>
          <w:szCs w:val="24"/>
        </w:rPr>
      </w:pPr>
      <w:r w:rsidRPr="004B40C1">
        <w:rPr>
          <w:rFonts w:ascii="Arial" w:hAnsi="Arial" w:cs="Arial"/>
          <w:sz w:val="24"/>
          <w:szCs w:val="24"/>
        </w:rPr>
        <w:t>Atendiendo a la Norma Internacional de Contabilidad del Sector Público (NICSP) 10-Información Financiera en Economías Hiperinflacionarias, se informa que, al estar en desconexión inflacionaria, no fue necesario actualizar los registros de la Hacienda Púbica del Municipio.</w:t>
      </w:r>
    </w:p>
    <w:p w:rsidR="0097115F" w:rsidRPr="004B40C1" w:rsidRDefault="0097115F" w:rsidP="0007481F">
      <w:pPr>
        <w:ind w:left="708"/>
        <w:jc w:val="both"/>
        <w:rPr>
          <w:rFonts w:ascii="Arial" w:hAnsi="Arial" w:cs="Arial"/>
          <w:b/>
          <w:sz w:val="24"/>
          <w:szCs w:val="24"/>
        </w:rPr>
      </w:pPr>
      <w:r w:rsidRPr="004B40C1">
        <w:rPr>
          <w:rFonts w:ascii="Arial" w:hAnsi="Arial" w:cs="Arial"/>
          <w:b/>
          <w:sz w:val="24"/>
          <w:szCs w:val="24"/>
        </w:rPr>
        <w:t>6.</w:t>
      </w:r>
      <w:r w:rsidR="0007481F" w:rsidRPr="004B40C1">
        <w:rPr>
          <w:rFonts w:ascii="Arial" w:hAnsi="Arial" w:cs="Arial"/>
          <w:b/>
          <w:sz w:val="24"/>
          <w:szCs w:val="24"/>
        </w:rPr>
        <w:t xml:space="preserve"> </w:t>
      </w:r>
      <w:r w:rsidRPr="004B40C1">
        <w:rPr>
          <w:rFonts w:ascii="Arial" w:hAnsi="Arial" w:cs="Arial"/>
          <w:b/>
          <w:sz w:val="24"/>
          <w:szCs w:val="24"/>
        </w:rPr>
        <w:t>Posición en Moneda Extranjera y Protección por Riesgo Cambiario</w:t>
      </w:r>
    </w:p>
    <w:p w:rsidR="00222F79" w:rsidRDefault="0097115F" w:rsidP="00324C82">
      <w:pPr>
        <w:jc w:val="both"/>
        <w:rPr>
          <w:rFonts w:ascii="Arial" w:hAnsi="Arial" w:cs="Arial"/>
          <w:sz w:val="24"/>
          <w:szCs w:val="24"/>
        </w:rPr>
      </w:pPr>
      <w:r w:rsidRPr="004B40C1">
        <w:rPr>
          <w:rFonts w:ascii="Arial" w:hAnsi="Arial" w:cs="Arial"/>
          <w:sz w:val="24"/>
          <w:szCs w:val="24"/>
        </w:rPr>
        <w:t>El Municipio solo realiza operaciones en moneda nacional, por lo que no se han generado registros en m</w:t>
      </w:r>
      <w:r w:rsidR="00222F79">
        <w:rPr>
          <w:rFonts w:ascii="Arial" w:hAnsi="Arial" w:cs="Arial"/>
          <w:sz w:val="24"/>
          <w:szCs w:val="24"/>
        </w:rPr>
        <w:t>oneda distinta al Peso Mexicano.</w:t>
      </w:r>
    </w:p>
    <w:p w:rsidR="00BC443E" w:rsidRDefault="00BC443E" w:rsidP="00324C82">
      <w:pPr>
        <w:jc w:val="both"/>
        <w:rPr>
          <w:rFonts w:ascii="Arial" w:hAnsi="Arial" w:cs="Arial"/>
          <w:b/>
          <w:sz w:val="24"/>
          <w:szCs w:val="24"/>
        </w:rPr>
      </w:pPr>
    </w:p>
    <w:p w:rsidR="0097115F" w:rsidRPr="004B40C1" w:rsidRDefault="00FB7C37" w:rsidP="009449F7">
      <w:pPr>
        <w:jc w:val="center"/>
        <w:rPr>
          <w:rFonts w:ascii="Arial" w:hAnsi="Arial" w:cs="Arial"/>
          <w:b/>
          <w:sz w:val="24"/>
          <w:szCs w:val="24"/>
        </w:rPr>
      </w:pPr>
      <w:r>
        <w:rPr>
          <w:rFonts w:ascii="Arial" w:hAnsi="Arial" w:cs="Arial"/>
          <w:b/>
          <w:sz w:val="24"/>
          <w:szCs w:val="24"/>
        </w:rPr>
        <w:t>B)</w:t>
      </w:r>
      <w:r w:rsidRPr="004B40C1">
        <w:rPr>
          <w:rFonts w:ascii="Arial" w:hAnsi="Arial" w:cs="Arial"/>
          <w:b/>
          <w:sz w:val="24"/>
          <w:szCs w:val="24"/>
        </w:rPr>
        <w:t xml:space="preserve"> NOTAS DE DESGLOSE</w:t>
      </w:r>
    </w:p>
    <w:p w:rsidR="0097115F" w:rsidRPr="004B40C1" w:rsidRDefault="0097115F" w:rsidP="00324C82">
      <w:pPr>
        <w:jc w:val="both"/>
        <w:rPr>
          <w:rFonts w:ascii="Arial" w:hAnsi="Arial" w:cs="Arial"/>
          <w:b/>
          <w:sz w:val="24"/>
          <w:szCs w:val="24"/>
        </w:rPr>
      </w:pPr>
      <w:r w:rsidRPr="004B40C1">
        <w:rPr>
          <w:rFonts w:ascii="Arial" w:hAnsi="Arial" w:cs="Arial"/>
          <w:b/>
          <w:sz w:val="24"/>
          <w:szCs w:val="24"/>
        </w:rPr>
        <w:t>I) Estado de Actividades.</w:t>
      </w:r>
    </w:p>
    <w:p w:rsidR="0007481F" w:rsidRPr="004B40C1" w:rsidRDefault="0007481F" w:rsidP="0007481F">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Ingresos de Gestión</w:t>
      </w:r>
    </w:p>
    <w:p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En el periodo presentado el importe correspondiente a los Impuestos, Contribuciones de Mejoras, Derechos, Productos y Aprovechamientos de la entidad suma la cantidad de $</w:t>
      </w:r>
      <w:r w:rsidR="009C4F86">
        <w:rPr>
          <w:rFonts w:ascii="Arial" w:hAnsi="Arial" w:cs="Arial"/>
          <w:sz w:val="24"/>
          <w:szCs w:val="24"/>
        </w:rPr>
        <w:t>4</w:t>
      </w:r>
      <w:r w:rsidRPr="004B40C1">
        <w:rPr>
          <w:rFonts w:ascii="Arial" w:hAnsi="Arial" w:cs="Arial"/>
          <w:sz w:val="24"/>
          <w:szCs w:val="24"/>
        </w:rPr>
        <w:t>,</w:t>
      </w:r>
      <w:r w:rsidR="009C4F86">
        <w:rPr>
          <w:rFonts w:ascii="Arial" w:hAnsi="Arial" w:cs="Arial"/>
          <w:sz w:val="24"/>
          <w:szCs w:val="24"/>
        </w:rPr>
        <w:t>109</w:t>
      </w:r>
      <w:r w:rsidRPr="004B40C1">
        <w:rPr>
          <w:rFonts w:ascii="Arial" w:hAnsi="Arial" w:cs="Arial"/>
          <w:sz w:val="24"/>
          <w:szCs w:val="24"/>
        </w:rPr>
        <w:t xml:space="preserve"> millones de pesos.</w:t>
      </w:r>
    </w:p>
    <w:p w:rsidR="0007481F" w:rsidRPr="004B40C1" w:rsidRDefault="0007481F" w:rsidP="0007481F">
      <w:pPr>
        <w:spacing w:after="0"/>
        <w:jc w:val="both"/>
        <w:rPr>
          <w:rFonts w:ascii="Arial" w:hAnsi="Arial" w:cs="Arial"/>
          <w:sz w:val="24"/>
          <w:szCs w:val="24"/>
        </w:rPr>
      </w:pPr>
    </w:p>
    <w:p w:rsidR="0097115F" w:rsidRPr="004B40C1" w:rsidRDefault="0007481F" w:rsidP="0007481F">
      <w:pPr>
        <w:spacing w:after="0"/>
        <w:jc w:val="both"/>
        <w:rPr>
          <w:rFonts w:ascii="Arial" w:hAnsi="Arial" w:cs="Arial"/>
          <w:sz w:val="24"/>
          <w:szCs w:val="24"/>
          <w:u w:val="single"/>
        </w:rPr>
      </w:pPr>
      <w:r w:rsidRPr="004B40C1">
        <w:rPr>
          <w:rFonts w:ascii="Arial" w:hAnsi="Arial" w:cs="Arial"/>
          <w:sz w:val="24"/>
          <w:szCs w:val="24"/>
          <w:u w:val="single"/>
        </w:rPr>
        <w:t xml:space="preserve">2. </w:t>
      </w:r>
      <w:r w:rsidR="0097115F" w:rsidRPr="004B40C1">
        <w:rPr>
          <w:rFonts w:ascii="Arial" w:hAnsi="Arial" w:cs="Arial"/>
          <w:sz w:val="24"/>
          <w:szCs w:val="24"/>
          <w:u w:val="single"/>
        </w:rPr>
        <w:t>Participaciones, Aportaciones, Convenios, Incentivos Derivados de la Colaboración Fiscal, Fondos Distintos de Aportaciones, Transferencias, Asignaciones, Subsidios y Subvenciones, y Pensiones y Jubilaciones</w:t>
      </w:r>
    </w:p>
    <w:p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El monto correspondiente a Participaciones y Aportaciones es de $</w:t>
      </w:r>
      <w:r w:rsidR="001E1295">
        <w:rPr>
          <w:rFonts w:ascii="Arial" w:hAnsi="Arial" w:cs="Arial"/>
          <w:sz w:val="24"/>
          <w:szCs w:val="24"/>
        </w:rPr>
        <w:t>3</w:t>
      </w:r>
      <w:r w:rsidRPr="004B40C1">
        <w:rPr>
          <w:rFonts w:ascii="Arial" w:hAnsi="Arial" w:cs="Arial"/>
          <w:sz w:val="24"/>
          <w:szCs w:val="24"/>
        </w:rPr>
        <w:t>,</w:t>
      </w:r>
      <w:r w:rsidR="001E1295">
        <w:rPr>
          <w:rFonts w:ascii="Arial" w:hAnsi="Arial" w:cs="Arial"/>
          <w:sz w:val="24"/>
          <w:szCs w:val="24"/>
        </w:rPr>
        <w:t>8</w:t>
      </w:r>
      <w:r w:rsidR="00FA5D55">
        <w:rPr>
          <w:rFonts w:ascii="Arial" w:hAnsi="Arial" w:cs="Arial"/>
          <w:sz w:val="24"/>
          <w:szCs w:val="24"/>
        </w:rPr>
        <w:t>2</w:t>
      </w:r>
      <w:r w:rsidR="001E1295">
        <w:rPr>
          <w:rFonts w:ascii="Arial" w:hAnsi="Arial" w:cs="Arial"/>
          <w:sz w:val="24"/>
          <w:szCs w:val="24"/>
        </w:rPr>
        <w:t>4</w:t>
      </w:r>
      <w:r w:rsidRPr="004B40C1">
        <w:rPr>
          <w:rFonts w:ascii="Arial" w:hAnsi="Arial" w:cs="Arial"/>
          <w:sz w:val="24"/>
          <w:szCs w:val="24"/>
        </w:rPr>
        <w:t xml:space="preserve"> millones de    pesos</w:t>
      </w:r>
      <w:r w:rsidR="00FA5D55">
        <w:rPr>
          <w:rFonts w:ascii="Arial" w:hAnsi="Arial" w:cs="Arial"/>
          <w:sz w:val="24"/>
          <w:szCs w:val="24"/>
        </w:rPr>
        <w:t>.</w:t>
      </w:r>
    </w:p>
    <w:p w:rsidR="00A836C7" w:rsidRPr="004B40C1" w:rsidRDefault="00A836C7" w:rsidP="00324C82">
      <w:pPr>
        <w:jc w:val="both"/>
        <w:rPr>
          <w:rFonts w:ascii="Arial" w:hAnsi="Arial" w:cs="Arial"/>
          <w:b/>
          <w:sz w:val="24"/>
          <w:szCs w:val="24"/>
        </w:rPr>
      </w:pPr>
    </w:p>
    <w:p w:rsidR="0097115F" w:rsidRPr="004B40C1" w:rsidRDefault="0097115F" w:rsidP="00324C82">
      <w:pPr>
        <w:jc w:val="both"/>
        <w:rPr>
          <w:rFonts w:ascii="Arial" w:hAnsi="Arial" w:cs="Arial"/>
          <w:b/>
          <w:sz w:val="24"/>
          <w:szCs w:val="24"/>
        </w:rPr>
      </w:pPr>
      <w:r w:rsidRPr="004B40C1">
        <w:rPr>
          <w:rFonts w:ascii="Arial" w:hAnsi="Arial" w:cs="Arial"/>
          <w:b/>
          <w:sz w:val="24"/>
          <w:szCs w:val="24"/>
        </w:rPr>
        <w:t>Gastos y Otras Pérdidas</w:t>
      </w:r>
    </w:p>
    <w:p w:rsidR="002A1486" w:rsidRPr="004B40C1" w:rsidRDefault="0007481F" w:rsidP="002A1486">
      <w:pPr>
        <w:spacing w:after="0"/>
        <w:jc w:val="both"/>
        <w:rPr>
          <w:rFonts w:ascii="Arial" w:hAnsi="Arial" w:cs="Arial"/>
          <w:sz w:val="24"/>
          <w:szCs w:val="24"/>
          <w:u w:val="single"/>
        </w:rPr>
      </w:pPr>
      <w:r w:rsidRPr="004B40C1">
        <w:rPr>
          <w:rFonts w:ascii="Arial" w:hAnsi="Arial" w:cs="Arial"/>
          <w:sz w:val="24"/>
          <w:szCs w:val="24"/>
          <w:u w:val="single"/>
        </w:rPr>
        <w:t>1.</w:t>
      </w:r>
      <w:r w:rsidR="002A1486" w:rsidRPr="004B40C1">
        <w:rPr>
          <w:rFonts w:ascii="Arial" w:hAnsi="Arial" w:cs="Arial"/>
          <w:sz w:val="24"/>
          <w:szCs w:val="24"/>
          <w:u w:val="single"/>
        </w:rPr>
        <w:t xml:space="preserve"> </w:t>
      </w:r>
      <w:r w:rsidR="0097115F" w:rsidRPr="004B40C1">
        <w:rPr>
          <w:rFonts w:ascii="Arial" w:hAnsi="Arial" w:cs="Arial"/>
          <w:sz w:val="24"/>
          <w:szCs w:val="24"/>
          <w:u w:val="single"/>
        </w:rPr>
        <w:t>Gastos de Funcionamiento</w:t>
      </w:r>
    </w:p>
    <w:p w:rsidR="0097115F" w:rsidRPr="004B40C1" w:rsidRDefault="0097115F" w:rsidP="002A1486">
      <w:pPr>
        <w:spacing w:after="0"/>
        <w:jc w:val="both"/>
        <w:rPr>
          <w:rFonts w:ascii="Arial" w:hAnsi="Arial" w:cs="Arial"/>
          <w:sz w:val="24"/>
          <w:szCs w:val="24"/>
        </w:rPr>
      </w:pPr>
      <w:r w:rsidRPr="004B40C1">
        <w:rPr>
          <w:rFonts w:ascii="Arial" w:hAnsi="Arial" w:cs="Arial"/>
          <w:sz w:val="24"/>
          <w:szCs w:val="24"/>
        </w:rPr>
        <w:t xml:space="preserve">En el periodo presentado el importe correspondiente a Gastos de Funcionamiento del </w:t>
      </w:r>
      <w:r w:rsidR="001E1295">
        <w:rPr>
          <w:rFonts w:ascii="Arial" w:hAnsi="Arial" w:cs="Arial"/>
          <w:sz w:val="24"/>
          <w:szCs w:val="24"/>
        </w:rPr>
        <w:t>Municipio suma la cantidad de $</w:t>
      </w:r>
      <w:r w:rsidR="009C4F86">
        <w:rPr>
          <w:rFonts w:ascii="Arial" w:hAnsi="Arial" w:cs="Arial"/>
          <w:sz w:val="24"/>
          <w:szCs w:val="24"/>
        </w:rPr>
        <w:t>5</w:t>
      </w:r>
      <w:r w:rsidRPr="004B40C1">
        <w:rPr>
          <w:rFonts w:ascii="Arial" w:hAnsi="Arial" w:cs="Arial"/>
          <w:sz w:val="24"/>
          <w:szCs w:val="24"/>
        </w:rPr>
        <w:t>,</w:t>
      </w:r>
      <w:r w:rsidR="009C4F86">
        <w:rPr>
          <w:rFonts w:ascii="Arial" w:hAnsi="Arial" w:cs="Arial"/>
          <w:sz w:val="24"/>
          <w:szCs w:val="24"/>
        </w:rPr>
        <w:t>711</w:t>
      </w:r>
      <w:r w:rsidRPr="004B40C1">
        <w:rPr>
          <w:rFonts w:ascii="Arial" w:hAnsi="Arial" w:cs="Arial"/>
          <w:sz w:val="24"/>
          <w:szCs w:val="24"/>
        </w:rPr>
        <w:t xml:space="preserve"> millones de pesos, los cuales comprenden Servicios Personales, Materiales y Suministros, así como Servicios Generales.</w:t>
      </w:r>
    </w:p>
    <w:p w:rsidR="0097115F" w:rsidRPr="004B40C1" w:rsidRDefault="0097115F" w:rsidP="00324C82">
      <w:pPr>
        <w:jc w:val="both"/>
        <w:rPr>
          <w:rFonts w:ascii="Arial" w:hAnsi="Arial" w:cs="Arial"/>
          <w:sz w:val="24"/>
          <w:szCs w:val="24"/>
        </w:rPr>
      </w:pPr>
    </w:p>
    <w:p w:rsidR="0097115F" w:rsidRPr="004B40C1" w:rsidRDefault="0097115F" w:rsidP="00324C82">
      <w:pPr>
        <w:jc w:val="both"/>
        <w:rPr>
          <w:rFonts w:ascii="Arial" w:hAnsi="Arial" w:cs="Arial"/>
          <w:b/>
          <w:sz w:val="24"/>
          <w:szCs w:val="24"/>
        </w:rPr>
      </w:pPr>
      <w:r w:rsidRPr="004B40C1">
        <w:rPr>
          <w:rFonts w:ascii="Arial" w:hAnsi="Arial" w:cs="Arial"/>
          <w:b/>
          <w:sz w:val="24"/>
          <w:szCs w:val="24"/>
        </w:rPr>
        <w:t>II</w:t>
      </w:r>
      <w:r w:rsidR="002A1486" w:rsidRPr="004B40C1">
        <w:rPr>
          <w:rFonts w:ascii="Arial" w:hAnsi="Arial" w:cs="Arial"/>
          <w:b/>
          <w:sz w:val="24"/>
          <w:szCs w:val="24"/>
        </w:rPr>
        <w:t>) Estado</w:t>
      </w:r>
      <w:r w:rsidRPr="004B40C1">
        <w:rPr>
          <w:rFonts w:ascii="Arial" w:hAnsi="Arial" w:cs="Arial"/>
          <w:b/>
          <w:sz w:val="24"/>
          <w:szCs w:val="24"/>
        </w:rPr>
        <w:t xml:space="preserve"> de Situación Financiera</w:t>
      </w:r>
    </w:p>
    <w:p w:rsidR="0097115F" w:rsidRPr="004B40C1" w:rsidRDefault="0097115F" w:rsidP="00324C82">
      <w:pPr>
        <w:jc w:val="both"/>
        <w:rPr>
          <w:rFonts w:ascii="Arial" w:hAnsi="Arial" w:cs="Arial"/>
          <w:sz w:val="24"/>
          <w:szCs w:val="24"/>
        </w:rPr>
      </w:pPr>
      <w:r w:rsidRPr="004B40C1">
        <w:rPr>
          <w:rFonts w:ascii="Arial" w:hAnsi="Arial" w:cs="Arial"/>
          <w:sz w:val="24"/>
          <w:szCs w:val="24"/>
        </w:rPr>
        <w:t>En cada uno de los conceptos se podrá apreciar su desglose:</w:t>
      </w:r>
    </w:p>
    <w:p w:rsidR="009B7B98" w:rsidRDefault="009B7B98" w:rsidP="009B7B98">
      <w:pPr>
        <w:jc w:val="both"/>
        <w:rPr>
          <w:rFonts w:ascii="Arial" w:hAnsi="Arial" w:cs="Arial"/>
          <w:b/>
          <w:sz w:val="24"/>
          <w:szCs w:val="24"/>
        </w:rPr>
      </w:pPr>
    </w:p>
    <w:p w:rsidR="004B40C1" w:rsidRPr="004B40C1" w:rsidRDefault="0097115F" w:rsidP="009B7B98">
      <w:pPr>
        <w:jc w:val="both"/>
        <w:rPr>
          <w:rFonts w:ascii="Arial" w:hAnsi="Arial" w:cs="Arial"/>
          <w:b/>
          <w:sz w:val="24"/>
          <w:szCs w:val="24"/>
        </w:rPr>
      </w:pPr>
      <w:r w:rsidRPr="004B40C1">
        <w:rPr>
          <w:rFonts w:ascii="Arial" w:hAnsi="Arial" w:cs="Arial"/>
          <w:b/>
          <w:sz w:val="24"/>
          <w:szCs w:val="24"/>
        </w:rPr>
        <w:t>Activo</w:t>
      </w:r>
    </w:p>
    <w:p w:rsidR="0097115F" w:rsidRDefault="0097115F" w:rsidP="002A1486">
      <w:pPr>
        <w:spacing w:after="0"/>
        <w:jc w:val="both"/>
        <w:rPr>
          <w:rFonts w:ascii="Arial" w:hAnsi="Arial" w:cs="Arial"/>
          <w:b/>
          <w:sz w:val="24"/>
          <w:szCs w:val="24"/>
        </w:rPr>
      </w:pPr>
      <w:r w:rsidRPr="004B40C1">
        <w:rPr>
          <w:rFonts w:ascii="Arial" w:hAnsi="Arial" w:cs="Arial"/>
          <w:b/>
          <w:sz w:val="24"/>
          <w:szCs w:val="24"/>
        </w:rPr>
        <w:t>Efectivo y Equivalentes</w:t>
      </w:r>
    </w:p>
    <w:tbl>
      <w:tblPr>
        <w:tblW w:w="8924" w:type="dxa"/>
        <w:tblInd w:w="-65" w:type="dxa"/>
        <w:tblLayout w:type="fixed"/>
        <w:tblCellMar>
          <w:left w:w="70" w:type="dxa"/>
          <w:right w:w="70" w:type="dxa"/>
        </w:tblCellMar>
        <w:tblLook w:val="04A0" w:firstRow="1" w:lastRow="0" w:firstColumn="1" w:lastColumn="0" w:noHBand="0" w:noVBand="1"/>
      </w:tblPr>
      <w:tblGrid>
        <w:gridCol w:w="6798"/>
        <w:gridCol w:w="175"/>
        <w:gridCol w:w="1951"/>
      </w:tblGrid>
      <w:tr w:rsidR="009C4F86" w:rsidRPr="009C4F86" w:rsidTr="009C4F86">
        <w:trPr>
          <w:trHeight w:val="300"/>
        </w:trPr>
        <w:tc>
          <w:tcPr>
            <w:tcW w:w="679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Efectivo</w:t>
            </w:r>
          </w:p>
        </w:tc>
        <w:tc>
          <w:tcPr>
            <w:tcW w:w="175" w:type="dxa"/>
            <w:tcBorders>
              <w:top w:val="single" w:sz="8" w:space="0" w:color="auto"/>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single" w:sz="8" w:space="0" w:color="auto"/>
              <w:left w:val="nil"/>
              <w:bottom w:val="single" w:sz="4"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588,426.32</w:t>
            </w:r>
          </w:p>
        </w:tc>
      </w:tr>
      <w:tr w:rsidR="009C4F86" w:rsidRPr="009C4F86" w:rsidTr="009C4F86">
        <w:trPr>
          <w:trHeight w:val="300"/>
        </w:trPr>
        <w:tc>
          <w:tcPr>
            <w:tcW w:w="6798" w:type="dxa"/>
            <w:tcBorders>
              <w:top w:val="nil"/>
              <w:left w:val="single" w:sz="8" w:space="0" w:color="auto"/>
              <w:bottom w:val="single" w:sz="4" w:space="0" w:color="auto"/>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Bancos</w:t>
            </w:r>
          </w:p>
        </w:tc>
        <w:tc>
          <w:tcPr>
            <w:tcW w:w="175"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nil"/>
              <w:left w:val="nil"/>
              <w:bottom w:val="single" w:sz="4"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2,839,631,625.98</w:t>
            </w:r>
          </w:p>
        </w:tc>
      </w:tr>
      <w:tr w:rsidR="009C4F86" w:rsidRPr="009C4F86" w:rsidTr="009C4F86">
        <w:trPr>
          <w:trHeight w:val="300"/>
        </w:trPr>
        <w:tc>
          <w:tcPr>
            <w:tcW w:w="6798" w:type="dxa"/>
            <w:tcBorders>
              <w:top w:val="nil"/>
              <w:left w:val="single" w:sz="8" w:space="0" w:color="auto"/>
              <w:bottom w:val="single" w:sz="4" w:space="0" w:color="auto"/>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Inversiones Temporales (Hasta 3 Meses)</w:t>
            </w:r>
          </w:p>
        </w:tc>
        <w:tc>
          <w:tcPr>
            <w:tcW w:w="175"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nil"/>
              <w:left w:val="nil"/>
              <w:bottom w:val="single" w:sz="4"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-336,251,088.49</w:t>
            </w:r>
          </w:p>
        </w:tc>
      </w:tr>
      <w:tr w:rsidR="009C4F86" w:rsidRPr="009C4F86" w:rsidTr="009C4F86">
        <w:trPr>
          <w:trHeight w:val="300"/>
        </w:trPr>
        <w:tc>
          <w:tcPr>
            <w:tcW w:w="6798" w:type="dxa"/>
            <w:tcBorders>
              <w:top w:val="nil"/>
              <w:left w:val="single" w:sz="8" w:space="0" w:color="auto"/>
              <w:bottom w:val="single" w:sz="4" w:space="0" w:color="auto"/>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Fondos con Afectación especifica</w:t>
            </w:r>
          </w:p>
        </w:tc>
        <w:tc>
          <w:tcPr>
            <w:tcW w:w="175"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nil"/>
              <w:left w:val="nil"/>
              <w:bottom w:val="single" w:sz="4"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-17,038,137.60</w:t>
            </w:r>
          </w:p>
        </w:tc>
      </w:tr>
      <w:tr w:rsidR="009C4F86" w:rsidRPr="009C4F86" w:rsidTr="009C4F86">
        <w:trPr>
          <w:trHeight w:val="300"/>
        </w:trPr>
        <w:tc>
          <w:tcPr>
            <w:tcW w:w="6798" w:type="dxa"/>
            <w:tcBorders>
              <w:top w:val="nil"/>
              <w:left w:val="single" w:sz="8" w:space="0" w:color="auto"/>
              <w:bottom w:val="single" w:sz="4" w:space="0" w:color="auto"/>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Depósitos en Fondos de Terceros en Garantía y/o Administración</w:t>
            </w:r>
          </w:p>
        </w:tc>
        <w:tc>
          <w:tcPr>
            <w:tcW w:w="175"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nil"/>
              <w:left w:val="nil"/>
              <w:bottom w:val="single" w:sz="4"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799,113.45</w:t>
            </w:r>
          </w:p>
        </w:tc>
      </w:tr>
      <w:tr w:rsidR="009C4F86" w:rsidRPr="009C4F86" w:rsidTr="009C4F86">
        <w:trPr>
          <w:trHeight w:val="300"/>
        </w:trPr>
        <w:tc>
          <w:tcPr>
            <w:tcW w:w="6798" w:type="dxa"/>
            <w:tcBorders>
              <w:top w:val="nil"/>
              <w:left w:val="single" w:sz="8" w:space="0" w:color="auto"/>
              <w:bottom w:val="nil"/>
              <w:right w:val="single" w:sz="4" w:space="0" w:color="auto"/>
            </w:tcBorders>
            <w:shd w:val="clear" w:color="auto" w:fill="auto"/>
            <w:vAlign w:val="center"/>
            <w:hideMark/>
          </w:tcPr>
          <w:p w:rsidR="009C4F86" w:rsidRPr="009C4F86" w:rsidRDefault="009C4F86" w:rsidP="009C4F86">
            <w:pPr>
              <w:spacing w:after="0" w:line="240" w:lineRule="auto"/>
              <w:ind w:firstLineChars="100" w:firstLine="200"/>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Otros Efectivos y Equivalentes</w:t>
            </w:r>
          </w:p>
        </w:tc>
        <w:tc>
          <w:tcPr>
            <w:tcW w:w="175" w:type="dxa"/>
            <w:tcBorders>
              <w:top w:val="nil"/>
              <w:left w:val="nil"/>
              <w:bottom w:val="nil"/>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51" w:type="dxa"/>
            <w:tcBorders>
              <w:top w:val="nil"/>
              <w:left w:val="nil"/>
              <w:bottom w:val="nil"/>
              <w:right w:val="single" w:sz="8" w:space="0" w:color="auto"/>
            </w:tcBorders>
            <w:shd w:val="clear" w:color="auto" w:fill="auto"/>
            <w:vAlign w:val="center"/>
            <w:hideMark/>
          </w:tcPr>
          <w:p w:rsidR="009C4F86" w:rsidRPr="009C4F86" w:rsidRDefault="009C4F86" w:rsidP="009C4F86">
            <w:pPr>
              <w:spacing w:after="0" w:line="240" w:lineRule="auto"/>
              <w:ind w:firstLineChars="100" w:firstLine="200"/>
              <w:jc w:val="right"/>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358,579.31</w:t>
            </w:r>
          </w:p>
        </w:tc>
      </w:tr>
      <w:tr w:rsidR="009C4F86" w:rsidRPr="009C4F86" w:rsidTr="009C4F86">
        <w:trPr>
          <w:trHeight w:val="300"/>
        </w:trPr>
        <w:tc>
          <w:tcPr>
            <w:tcW w:w="67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1"/>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Total de efectivo y equivalentes</w:t>
            </w:r>
          </w:p>
        </w:tc>
        <w:tc>
          <w:tcPr>
            <w:tcW w:w="175" w:type="dxa"/>
            <w:tcBorders>
              <w:top w:val="single" w:sz="8" w:space="0" w:color="auto"/>
              <w:left w:val="nil"/>
              <w:bottom w:val="single" w:sz="8"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rsidR="009C4F86" w:rsidRPr="009C4F86" w:rsidRDefault="009C4F86" w:rsidP="009C4F86">
            <w:pPr>
              <w:spacing w:after="0" w:line="240" w:lineRule="auto"/>
              <w:ind w:firstLineChars="100" w:firstLine="201"/>
              <w:jc w:val="right"/>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2,488,088,518.97</w:t>
            </w:r>
          </w:p>
        </w:tc>
      </w:tr>
    </w:tbl>
    <w:p w:rsidR="009C4F86" w:rsidRPr="004B40C1" w:rsidRDefault="009C4F86" w:rsidP="002A1486">
      <w:pPr>
        <w:spacing w:after="0"/>
        <w:jc w:val="both"/>
        <w:rPr>
          <w:rFonts w:ascii="Arial" w:hAnsi="Arial" w:cs="Arial"/>
          <w:b/>
          <w:sz w:val="24"/>
          <w:szCs w:val="24"/>
        </w:rPr>
      </w:pPr>
    </w:p>
    <w:p w:rsidR="0097115F" w:rsidRPr="004B40C1" w:rsidRDefault="0097115F" w:rsidP="002A1486">
      <w:pPr>
        <w:spacing w:after="0"/>
        <w:jc w:val="both"/>
        <w:rPr>
          <w:rFonts w:ascii="Arial" w:hAnsi="Arial" w:cs="Arial"/>
          <w:sz w:val="24"/>
          <w:szCs w:val="24"/>
        </w:rPr>
      </w:pPr>
    </w:p>
    <w:p w:rsidR="004B40C1" w:rsidRPr="004B40C1" w:rsidRDefault="004B40C1" w:rsidP="002A1486">
      <w:pPr>
        <w:spacing w:after="0"/>
        <w:jc w:val="both"/>
        <w:rPr>
          <w:rFonts w:ascii="Arial" w:hAnsi="Arial" w:cs="Arial"/>
          <w:sz w:val="24"/>
          <w:szCs w:val="24"/>
        </w:rPr>
      </w:pPr>
    </w:p>
    <w:p w:rsidR="002A1486" w:rsidRPr="004B40C1" w:rsidRDefault="002A1486" w:rsidP="002A1486">
      <w:pPr>
        <w:spacing w:after="0"/>
        <w:jc w:val="both"/>
        <w:rPr>
          <w:rFonts w:ascii="Arial" w:hAnsi="Arial" w:cs="Arial"/>
          <w:sz w:val="24"/>
          <w:szCs w:val="24"/>
        </w:rPr>
      </w:pPr>
    </w:p>
    <w:p w:rsidR="0097115F" w:rsidRDefault="0097115F" w:rsidP="002A1486">
      <w:pPr>
        <w:spacing w:after="0"/>
        <w:jc w:val="both"/>
        <w:rPr>
          <w:rFonts w:ascii="Arial" w:hAnsi="Arial" w:cs="Arial"/>
          <w:b/>
          <w:sz w:val="24"/>
          <w:szCs w:val="24"/>
        </w:rPr>
      </w:pPr>
      <w:r w:rsidRPr="004B40C1">
        <w:rPr>
          <w:rFonts w:ascii="Arial" w:hAnsi="Arial" w:cs="Arial"/>
          <w:b/>
          <w:sz w:val="24"/>
          <w:szCs w:val="24"/>
        </w:rPr>
        <w:t>Derechos a recibir Efectivo y Equivalentes y Bienes o Servicios</w:t>
      </w:r>
    </w:p>
    <w:tbl>
      <w:tblPr>
        <w:tblW w:w="8804" w:type="dxa"/>
        <w:tblInd w:w="55" w:type="dxa"/>
        <w:tblCellMar>
          <w:left w:w="70" w:type="dxa"/>
          <w:right w:w="70" w:type="dxa"/>
        </w:tblCellMar>
        <w:tblLook w:val="04A0" w:firstRow="1" w:lastRow="0" w:firstColumn="1" w:lastColumn="0" w:noHBand="0" w:noVBand="1"/>
      </w:tblPr>
      <w:tblGrid>
        <w:gridCol w:w="6536"/>
        <w:gridCol w:w="300"/>
        <w:gridCol w:w="1968"/>
      </w:tblGrid>
      <w:tr w:rsidR="009C4F86" w:rsidRPr="009C4F86" w:rsidTr="009C4F86">
        <w:trPr>
          <w:trHeight w:val="255"/>
        </w:trPr>
        <w:tc>
          <w:tcPr>
            <w:tcW w:w="6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Cuentas por Cobrar a Corto Plazo</w:t>
            </w:r>
          </w:p>
        </w:tc>
        <w:tc>
          <w:tcPr>
            <w:tcW w:w="300" w:type="dxa"/>
            <w:tcBorders>
              <w:top w:val="single" w:sz="8" w:space="0" w:color="auto"/>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single" w:sz="8" w:space="0" w:color="auto"/>
              <w:left w:val="nil"/>
              <w:bottom w:val="single" w:sz="4" w:space="0" w:color="auto"/>
              <w:right w:val="single" w:sz="8" w:space="0" w:color="auto"/>
            </w:tcBorders>
            <w:shd w:val="clear" w:color="auto" w:fill="auto"/>
            <w:noWrap/>
            <w:vAlign w:val="center"/>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 xml:space="preserve">           92,198,765.44 </w:t>
            </w:r>
          </w:p>
        </w:tc>
      </w:tr>
      <w:tr w:rsidR="009C4F86" w:rsidRPr="009C4F86" w:rsidTr="009C4F86">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Deudores diversos por cobrar a corto plazo</w:t>
            </w:r>
          </w:p>
        </w:tc>
        <w:tc>
          <w:tcPr>
            <w:tcW w:w="300"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 xml:space="preserve">           13,423,490.82 </w:t>
            </w:r>
          </w:p>
        </w:tc>
      </w:tr>
      <w:tr w:rsidR="009C4F86" w:rsidRPr="009C4F86" w:rsidTr="009C4F86">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Ingresos por recuperar a corto plazo</w:t>
            </w:r>
          </w:p>
        </w:tc>
        <w:tc>
          <w:tcPr>
            <w:tcW w:w="300"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 xml:space="preserve">             6,385,225.78 </w:t>
            </w:r>
          </w:p>
        </w:tc>
      </w:tr>
      <w:tr w:rsidR="009C4F86" w:rsidRPr="009C4F86" w:rsidTr="009C4F86">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Deudores por anticipos de la tesorería a corto plazo</w:t>
            </w:r>
          </w:p>
        </w:tc>
        <w:tc>
          <w:tcPr>
            <w:tcW w:w="300"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 xml:space="preserve">                198,538.93 </w:t>
            </w:r>
          </w:p>
        </w:tc>
      </w:tr>
      <w:tr w:rsidR="009C4F86" w:rsidRPr="009C4F86" w:rsidTr="009C4F86">
        <w:trPr>
          <w:trHeight w:val="510"/>
        </w:trPr>
        <w:tc>
          <w:tcPr>
            <w:tcW w:w="6536" w:type="dxa"/>
            <w:tcBorders>
              <w:top w:val="nil"/>
              <w:left w:val="single" w:sz="8" w:space="0" w:color="auto"/>
              <w:bottom w:val="single" w:sz="4" w:space="0" w:color="auto"/>
              <w:right w:val="single" w:sz="4" w:space="0" w:color="auto"/>
            </w:tcBorders>
            <w:shd w:val="clear" w:color="auto" w:fill="auto"/>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Anticipo a proveedores por adquisición de bienes y prestación de servicios a corto plazo</w:t>
            </w:r>
          </w:p>
        </w:tc>
        <w:tc>
          <w:tcPr>
            <w:tcW w:w="300" w:type="dxa"/>
            <w:tcBorders>
              <w:top w:val="nil"/>
              <w:left w:val="nil"/>
              <w:bottom w:val="single" w:sz="4"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noWrap/>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77,545,975.38</w:t>
            </w:r>
          </w:p>
        </w:tc>
      </w:tr>
      <w:tr w:rsidR="009C4F86" w:rsidRPr="009C4F86" w:rsidTr="009C4F86">
        <w:trPr>
          <w:trHeight w:val="525"/>
        </w:trPr>
        <w:tc>
          <w:tcPr>
            <w:tcW w:w="6536" w:type="dxa"/>
            <w:tcBorders>
              <w:top w:val="nil"/>
              <w:left w:val="single" w:sz="8" w:space="0" w:color="auto"/>
              <w:bottom w:val="single" w:sz="8" w:space="0" w:color="auto"/>
              <w:right w:val="single" w:sz="4" w:space="0" w:color="auto"/>
            </w:tcBorders>
            <w:shd w:val="clear" w:color="auto" w:fill="auto"/>
            <w:vAlign w:val="bottom"/>
            <w:hideMark/>
          </w:tcPr>
          <w:p w:rsidR="009C4F86" w:rsidRPr="009C4F86" w:rsidRDefault="009C4F86" w:rsidP="009C4F86">
            <w:pPr>
              <w:spacing w:after="0" w:line="240" w:lineRule="auto"/>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Total de Derechos a recibir efectivo o equivalentes y Bienes y Servicios</w:t>
            </w:r>
          </w:p>
        </w:tc>
        <w:tc>
          <w:tcPr>
            <w:tcW w:w="300" w:type="dxa"/>
            <w:tcBorders>
              <w:top w:val="nil"/>
              <w:left w:val="nil"/>
              <w:bottom w:val="single" w:sz="8" w:space="0" w:color="auto"/>
              <w:right w:val="nil"/>
            </w:tcBorders>
            <w:shd w:val="clear" w:color="auto" w:fill="auto"/>
            <w:vAlign w:val="center"/>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1968" w:type="dxa"/>
            <w:tcBorders>
              <w:top w:val="nil"/>
              <w:left w:val="nil"/>
              <w:bottom w:val="single" w:sz="8" w:space="0" w:color="auto"/>
              <w:right w:val="single" w:sz="8" w:space="0" w:color="auto"/>
            </w:tcBorders>
            <w:shd w:val="clear" w:color="auto" w:fill="auto"/>
            <w:noWrap/>
            <w:vAlign w:val="center"/>
            <w:hideMark/>
          </w:tcPr>
          <w:p w:rsidR="009C4F86" w:rsidRPr="009C4F86" w:rsidRDefault="009C4F86" w:rsidP="009C4F86">
            <w:pPr>
              <w:spacing w:after="0" w:line="240" w:lineRule="auto"/>
              <w:jc w:val="center"/>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 xml:space="preserve">    </w:t>
            </w:r>
            <w:r w:rsidRPr="009C4F86">
              <w:rPr>
                <w:rFonts w:ascii="Calibri" w:eastAsia="Times New Roman" w:hAnsi="Calibri" w:cs="Calibri"/>
                <w:b/>
                <w:bCs/>
                <w:color w:val="000000"/>
                <w:sz w:val="20"/>
                <w:szCs w:val="20"/>
                <w:lang w:eastAsia="es-MX"/>
              </w:rPr>
              <w:t>189,751,996.35</w:t>
            </w:r>
          </w:p>
        </w:tc>
      </w:tr>
    </w:tbl>
    <w:p w:rsidR="002A1486" w:rsidRDefault="002A1486" w:rsidP="002A1486">
      <w:pPr>
        <w:spacing w:after="0"/>
        <w:jc w:val="both"/>
        <w:rPr>
          <w:rFonts w:ascii="Arial" w:hAnsi="Arial" w:cs="Arial"/>
          <w:sz w:val="24"/>
          <w:szCs w:val="24"/>
        </w:rPr>
      </w:pPr>
    </w:p>
    <w:p w:rsidR="009C4F86" w:rsidRPr="004B40C1" w:rsidRDefault="009C4F86" w:rsidP="002A1486">
      <w:pPr>
        <w:spacing w:after="0"/>
        <w:jc w:val="both"/>
        <w:rPr>
          <w:rFonts w:ascii="Arial" w:hAnsi="Arial" w:cs="Arial"/>
          <w:sz w:val="24"/>
          <w:szCs w:val="24"/>
        </w:rPr>
      </w:pPr>
    </w:p>
    <w:p w:rsidR="0097115F" w:rsidRDefault="0097115F" w:rsidP="002A1486">
      <w:pPr>
        <w:spacing w:after="0"/>
        <w:jc w:val="both"/>
        <w:rPr>
          <w:rFonts w:ascii="Arial" w:hAnsi="Arial" w:cs="Arial"/>
          <w:b/>
          <w:sz w:val="24"/>
          <w:szCs w:val="24"/>
        </w:rPr>
      </w:pPr>
      <w:r w:rsidRPr="004B40C1">
        <w:rPr>
          <w:rFonts w:ascii="Arial" w:hAnsi="Arial" w:cs="Arial"/>
          <w:b/>
          <w:sz w:val="24"/>
          <w:szCs w:val="24"/>
        </w:rPr>
        <w:t>Inversiones Financieras a Largo Plazo</w:t>
      </w:r>
    </w:p>
    <w:tbl>
      <w:tblPr>
        <w:tblW w:w="8804" w:type="dxa"/>
        <w:tblInd w:w="55" w:type="dxa"/>
        <w:tblCellMar>
          <w:left w:w="70" w:type="dxa"/>
          <w:right w:w="70" w:type="dxa"/>
        </w:tblCellMar>
        <w:tblLook w:val="04A0" w:firstRow="1" w:lastRow="0" w:firstColumn="1" w:lastColumn="0" w:noHBand="0" w:noVBand="1"/>
      </w:tblPr>
      <w:tblGrid>
        <w:gridCol w:w="6536"/>
        <w:gridCol w:w="242"/>
        <w:gridCol w:w="2026"/>
      </w:tblGrid>
      <w:tr w:rsidR="009C4F86" w:rsidRPr="009C4F86" w:rsidTr="009C4F86">
        <w:trPr>
          <w:trHeight w:val="255"/>
        </w:trPr>
        <w:tc>
          <w:tcPr>
            <w:tcW w:w="6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Inversiones a largo plazo</w:t>
            </w:r>
          </w:p>
        </w:tc>
        <w:tc>
          <w:tcPr>
            <w:tcW w:w="242" w:type="dxa"/>
            <w:tcBorders>
              <w:top w:val="single" w:sz="8" w:space="0" w:color="auto"/>
              <w:left w:val="nil"/>
              <w:bottom w:val="single" w:sz="4"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4" w:space="0" w:color="auto"/>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503,608.00</w:t>
            </w:r>
          </w:p>
        </w:tc>
      </w:tr>
      <w:tr w:rsidR="009C4F86" w:rsidRPr="009C4F86" w:rsidTr="009C4F86">
        <w:trPr>
          <w:trHeight w:val="255"/>
        </w:trPr>
        <w:tc>
          <w:tcPr>
            <w:tcW w:w="6536" w:type="dxa"/>
            <w:tcBorders>
              <w:top w:val="nil"/>
              <w:left w:val="single" w:sz="8" w:space="0" w:color="auto"/>
              <w:bottom w:val="single" w:sz="4" w:space="0" w:color="auto"/>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Títulos y valores a largo plazo</w:t>
            </w:r>
          </w:p>
        </w:tc>
        <w:tc>
          <w:tcPr>
            <w:tcW w:w="242" w:type="dxa"/>
            <w:tcBorders>
              <w:top w:val="nil"/>
              <w:left w:val="nil"/>
              <w:bottom w:val="single" w:sz="4"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single" w:sz="4" w:space="0" w:color="auto"/>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100.00</w:t>
            </w:r>
          </w:p>
        </w:tc>
      </w:tr>
      <w:tr w:rsidR="009C4F86" w:rsidRPr="009C4F86" w:rsidTr="009C4F86">
        <w:trPr>
          <w:trHeight w:val="270"/>
        </w:trPr>
        <w:tc>
          <w:tcPr>
            <w:tcW w:w="6536" w:type="dxa"/>
            <w:tcBorders>
              <w:top w:val="nil"/>
              <w:left w:val="single" w:sz="8" w:space="0" w:color="auto"/>
              <w:bottom w:val="nil"/>
              <w:right w:val="single" w:sz="4"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Fideicomisos, mandatos y contratos análogos</w:t>
            </w:r>
          </w:p>
        </w:tc>
        <w:tc>
          <w:tcPr>
            <w:tcW w:w="242" w:type="dxa"/>
            <w:tcBorders>
              <w:top w:val="nil"/>
              <w:left w:val="nil"/>
              <w:bottom w:val="nil"/>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nil"/>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235,542,566.70</w:t>
            </w:r>
          </w:p>
        </w:tc>
      </w:tr>
      <w:tr w:rsidR="009C4F86" w:rsidRPr="009C4F86" w:rsidTr="009C4F86">
        <w:trPr>
          <w:trHeight w:val="270"/>
        </w:trPr>
        <w:tc>
          <w:tcPr>
            <w:tcW w:w="65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Total de Inversiones financieras a largo plazo</w:t>
            </w:r>
          </w:p>
        </w:tc>
        <w:tc>
          <w:tcPr>
            <w:tcW w:w="242" w:type="dxa"/>
            <w:tcBorders>
              <w:top w:val="single" w:sz="8" w:space="0" w:color="auto"/>
              <w:left w:val="nil"/>
              <w:bottom w:val="single" w:sz="8" w:space="0" w:color="auto"/>
              <w:right w:val="nil"/>
            </w:tcBorders>
            <w:shd w:val="clear" w:color="auto" w:fill="auto"/>
            <w:noWrap/>
            <w:vAlign w:val="bottom"/>
            <w:hideMark/>
          </w:tcPr>
          <w:p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8" w:space="0" w:color="auto"/>
              <w:right w:val="single" w:sz="8" w:space="0" w:color="auto"/>
            </w:tcBorders>
            <w:shd w:val="clear" w:color="auto" w:fill="auto"/>
            <w:noWrap/>
            <w:vAlign w:val="bottom"/>
            <w:hideMark/>
          </w:tcPr>
          <w:p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236,046,274.70</w:t>
            </w:r>
          </w:p>
        </w:tc>
      </w:tr>
    </w:tbl>
    <w:p w:rsidR="009C4F86" w:rsidRPr="004B40C1" w:rsidRDefault="009C4F86" w:rsidP="002A1486">
      <w:pPr>
        <w:spacing w:after="0"/>
        <w:jc w:val="both"/>
        <w:rPr>
          <w:rFonts w:ascii="Arial" w:hAnsi="Arial" w:cs="Arial"/>
          <w:b/>
          <w:sz w:val="24"/>
          <w:szCs w:val="24"/>
        </w:rPr>
      </w:pPr>
    </w:p>
    <w:p w:rsidR="004971EB" w:rsidRDefault="004971EB" w:rsidP="002A1486">
      <w:pPr>
        <w:spacing w:after="0"/>
        <w:jc w:val="both"/>
        <w:rPr>
          <w:rFonts w:ascii="Arial" w:hAnsi="Arial" w:cs="Arial"/>
          <w:b/>
          <w:sz w:val="24"/>
          <w:szCs w:val="24"/>
        </w:rPr>
      </w:pPr>
    </w:p>
    <w:p w:rsidR="0097115F" w:rsidRDefault="0097115F" w:rsidP="002A1486">
      <w:pPr>
        <w:spacing w:after="0"/>
        <w:jc w:val="both"/>
        <w:rPr>
          <w:rFonts w:ascii="Arial" w:hAnsi="Arial" w:cs="Arial"/>
          <w:b/>
          <w:sz w:val="24"/>
          <w:szCs w:val="24"/>
        </w:rPr>
      </w:pPr>
      <w:r w:rsidRPr="004B40C1">
        <w:rPr>
          <w:rFonts w:ascii="Arial" w:hAnsi="Arial" w:cs="Arial"/>
          <w:b/>
          <w:sz w:val="24"/>
          <w:szCs w:val="24"/>
        </w:rPr>
        <w:t>Bienes Inmuebles, Infraestructura y Construcciones en Proceso</w:t>
      </w:r>
    </w:p>
    <w:p w:rsidR="004971EB" w:rsidRDefault="004971EB" w:rsidP="002A1486">
      <w:pPr>
        <w:spacing w:after="0"/>
        <w:jc w:val="both"/>
        <w:rPr>
          <w:rFonts w:ascii="Arial" w:hAnsi="Arial" w:cs="Arial"/>
          <w:b/>
          <w:sz w:val="24"/>
          <w:szCs w:val="24"/>
        </w:rPr>
      </w:pPr>
    </w:p>
    <w:tbl>
      <w:tblPr>
        <w:tblW w:w="8924" w:type="dxa"/>
        <w:tblInd w:w="-65" w:type="dxa"/>
        <w:tblLayout w:type="fixed"/>
        <w:tblCellMar>
          <w:left w:w="70" w:type="dxa"/>
          <w:right w:w="70" w:type="dxa"/>
        </w:tblCellMar>
        <w:tblLook w:val="04A0" w:firstRow="1" w:lastRow="0" w:firstColumn="1" w:lastColumn="0" w:noHBand="0" w:noVBand="1"/>
      </w:tblPr>
      <w:tblGrid>
        <w:gridCol w:w="6656"/>
        <w:gridCol w:w="175"/>
        <w:gridCol w:w="2093"/>
      </w:tblGrid>
      <w:tr w:rsidR="004971EB" w:rsidRPr="004971EB" w:rsidTr="004971EB">
        <w:trPr>
          <w:trHeight w:val="300"/>
        </w:trPr>
        <w:tc>
          <w:tcPr>
            <w:tcW w:w="665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Terrenos</w:t>
            </w:r>
          </w:p>
        </w:tc>
        <w:tc>
          <w:tcPr>
            <w:tcW w:w="175" w:type="dxa"/>
            <w:tcBorders>
              <w:top w:val="single" w:sz="8" w:space="0" w:color="auto"/>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single" w:sz="8" w:space="0" w:color="auto"/>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389,839,742.58</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Edificios no Habitacionales</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1,297,424,423.35</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Infraestructura</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3,940,485,680.18</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de Dominio Publico</w:t>
            </w:r>
          </w:p>
        </w:tc>
        <w:tc>
          <w:tcPr>
            <w:tcW w:w="175"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4,421,525,223.12</w:t>
            </w:r>
          </w:p>
        </w:tc>
      </w:tr>
      <w:tr w:rsidR="004971EB" w:rsidRPr="004971EB" w:rsidTr="004971EB">
        <w:trPr>
          <w:trHeight w:val="300"/>
        </w:trPr>
        <w:tc>
          <w:tcPr>
            <w:tcW w:w="6656" w:type="dxa"/>
            <w:tcBorders>
              <w:top w:val="nil"/>
              <w:left w:val="single" w:sz="8" w:space="0" w:color="auto"/>
              <w:bottom w:val="single" w:sz="8"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en bienes propios</w:t>
            </w:r>
          </w:p>
        </w:tc>
        <w:tc>
          <w:tcPr>
            <w:tcW w:w="175"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237,883,050.19</w:t>
            </w:r>
          </w:p>
        </w:tc>
      </w:tr>
      <w:tr w:rsidR="004971EB" w:rsidRPr="004971EB" w:rsidTr="004971EB">
        <w:trPr>
          <w:trHeight w:val="300"/>
        </w:trPr>
        <w:tc>
          <w:tcPr>
            <w:tcW w:w="6656" w:type="dxa"/>
            <w:tcBorders>
              <w:top w:val="nil"/>
              <w:left w:val="single" w:sz="8" w:space="0" w:color="auto"/>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Bienes inmuebles</w:t>
            </w:r>
          </w:p>
        </w:tc>
        <w:tc>
          <w:tcPr>
            <w:tcW w:w="175"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2093"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jc w:val="right"/>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10,287,158,119.42</w:t>
            </w:r>
          </w:p>
        </w:tc>
      </w:tr>
    </w:tbl>
    <w:p w:rsidR="004971EB" w:rsidRPr="004B40C1" w:rsidRDefault="004971EB" w:rsidP="002A1486">
      <w:pPr>
        <w:spacing w:after="0"/>
        <w:jc w:val="both"/>
        <w:rPr>
          <w:rFonts w:ascii="Arial" w:hAnsi="Arial" w:cs="Arial"/>
          <w:b/>
          <w:sz w:val="24"/>
          <w:szCs w:val="24"/>
        </w:rPr>
      </w:pPr>
    </w:p>
    <w:p w:rsidR="00222F79" w:rsidRPr="004B40C1" w:rsidRDefault="00222F79" w:rsidP="002A1486">
      <w:pPr>
        <w:spacing w:after="0"/>
        <w:jc w:val="both"/>
        <w:rPr>
          <w:rFonts w:ascii="Arial" w:hAnsi="Arial" w:cs="Arial"/>
          <w:b/>
          <w:sz w:val="24"/>
          <w:szCs w:val="24"/>
        </w:rPr>
      </w:pPr>
    </w:p>
    <w:p w:rsidR="00F76C33" w:rsidRDefault="00F76C33" w:rsidP="002A1486">
      <w:pPr>
        <w:spacing w:after="0"/>
        <w:jc w:val="both"/>
        <w:rPr>
          <w:rFonts w:ascii="Arial" w:hAnsi="Arial" w:cs="Arial"/>
          <w:b/>
          <w:sz w:val="24"/>
          <w:szCs w:val="24"/>
        </w:rPr>
      </w:pPr>
      <w:r w:rsidRPr="004B40C1">
        <w:rPr>
          <w:rFonts w:ascii="Arial" w:hAnsi="Arial" w:cs="Arial"/>
          <w:b/>
          <w:sz w:val="24"/>
          <w:szCs w:val="24"/>
        </w:rPr>
        <w:t>Bienes Muebles</w:t>
      </w:r>
    </w:p>
    <w:tbl>
      <w:tblPr>
        <w:tblW w:w="8924" w:type="dxa"/>
        <w:tblInd w:w="-65" w:type="dxa"/>
        <w:tblCellMar>
          <w:left w:w="70" w:type="dxa"/>
          <w:right w:w="70" w:type="dxa"/>
        </w:tblCellMar>
        <w:tblLook w:val="04A0" w:firstRow="1" w:lastRow="0" w:firstColumn="1" w:lastColumn="0" w:noHBand="0" w:noVBand="1"/>
      </w:tblPr>
      <w:tblGrid>
        <w:gridCol w:w="6656"/>
        <w:gridCol w:w="300"/>
        <w:gridCol w:w="1968"/>
      </w:tblGrid>
      <w:tr w:rsidR="004971EB" w:rsidRPr="004971EB" w:rsidTr="004971EB">
        <w:trPr>
          <w:trHeight w:val="300"/>
        </w:trPr>
        <w:tc>
          <w:tcPr>
            <w:tcW w:w="665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Mobiliario y equipo de administración</w:t>
            </w:r>
          </w:p>
        </w:tc>
        <w:tc>
          <w:tcPr>
            <w:tcW w:w="300" w:type="dxa"/>
            <w:tcBorders>
              <w:top w:val="single" w:sz="8" w:space="0" w:color="auto"/>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single" w:sz="8" w:space="0" w:color="auto"/>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515,180,692.29</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Mobiliarios y equipo Educaciones y recreativo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132,526,798.10</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Equipo e Instrumental médico y de laboratorio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97,635,710.74</w:t>
            </w:r>
          </w:p>
        </w:tc>
      </w:tr>
      <w:tr w:rsidR="004971EB" w:rsidRPr="004971EB" w:rsidTr="004971EB">
        <w:trPr>
          <w:trHeight w:val="300"/>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Vehículos y equipo de transporte</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1,644,802,736.62</w:t>
            </w:r>
          </w:p>
        </w:tc>
      </w:tr>
      <w:tr w:rsidR="004971EB" w:rsidRPr="004971EB" w:rsidTr="004971EB">
        <w:trPr>
          <w:trHeight w:val="255"/>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Equipo de Defensa y seguridad</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172,251,345.80</w:t>
            </w:r>
          </w:p>
        </w:tc>
      </w:tr>
      <w:tr w:rsidR="004971EB" w:rsidRPr="004971EB" w:rsidTr="004971EB">
        <w:trPr>
          <w:trHeight w:val="255"/>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Maquinaria, otros equipos y herramientas</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547,992,559.51</w:t>
            </w:r>
          </w:p>
        </w:tc>
      </w:tr>
      <w:tr w:rsidR="004971EB" w:rsidRPr="004971EB" w:rsidTr="004971EB">
        <w:trPr>
          <w:trHeight w:val="255"/>
        </w:trPr>
        <w:tc>
          <w:tcPr>
            <w:tcW w:w="6656"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Colecciones, obras arte y objetos valiosos</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29,273,238.23</w:t>
            </w:r>
          </w:p>
        </w:tc>
      </w:tr>
      <w:tr w:rsidR="004971EB" w:rsidRPr="004971EB" w:rsidTr="004971EB">
        <w:trPr>
          <w:trHeight w:val="270"/>
        </w:trPr>
        <w:tc>
          <w:tcPr>
            <w:tcW w:w="6656" w:type="dxa"/>
            <w:tcBorders>
              <w:top w:val="nil"/>
              <w:left w:val="single" w:sz="8" w:space="0" w:color="auto"/>
              <w:bottom w:val="single" w:sz="8"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Activos Biológicos</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1968"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1,245,246.50</w:t>
            </w:r>
          </w:p>
        </w:tc>
      </w:tr>
      <w:tr w:rsidR="004971EB" w:rsidRPr="004971EB" w:rsidTr="004971EB">
        <w:trPr>
          <w:trHeight w:val="270"/>
        </w:trPr>
        <w:tc>
          <w:tcPr>
            <w:tcW w:w="6656" w:type="dxa"/>
            <w:tcBorders>
              <w:top w:val="nil"/>
              <w:left w:val="single" w:sz="8" w:space="0" w:color="auto"/>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bienes muebles</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1968"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jc w:val="right"/>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3,140,908,327.79</w:t>
            </w:r>
          </w:p>
        </w:tc>
      </w:tr>
    </w:tbl>
    <w:p w:rsidR="004971EB" w:rsidRPr="004B40C1" w:rsidRDefault="004971EB" w:rsidP="002A1486">
      <w:pPr>
        <w:spacing w:after="0"/>
        <w:jc w:val="both"/>
        <w:rPr>
          <w:rFonts w:ascii="Arial" w:hAnsi="Arial" w:cs="Arial"/>
          <w:b/>
          <w:sz w:val="24"/>
          <w:szCs w:val="24"/>
        </w:rPr>
      </w:pPr>
    </w:p>
    <w:p w:rsidR="00222F79" w:rsidRPr="004B40C1" w:rsidRDefault="00222F79" w:rsidP="002A1486">
      <w:pPr>
        <w:spacing w:after="0"/>
        <w:jc w:val="both"/>
        <w:rPr>
          <w:rFonts w:ascii="Arial" w:hAnsi="Arial" w:cs="Arial"/>
          <w:b/>
          <w:sz w:val="24"/>
          <w:szCs w:val="24"/>
        </w:rPr>
      </w:pPr>
    </w:p>
    <w:p w:rsidR="00F76C33" w:rsidRDefault="00F76C33" w:rsidP="002A1486">
      <w:pPr>
        <w:spacing w:after="0"/>
        <w:jc w:val="both"/>
        <w:rPr>
          <w:rFonts w:ascii="Arial" w:hAnsi="Arial" w:cs="Arial"/>
          <w:b/>
          <w:sz w:val="24"/>
          <w:szCs w:val="24"/>
        </w:rPr>
      </w:pPr>
      <w:r w:rsidRPr="004B40C1">
        <w:rPr>
          <w:rFonts w:ascii="Arial" w:hAnsi="Arial" w:cs="Arial"/>
          <w:b/>
          <w:sz w:val="24"/>
          <w:szCs w:val="24"/>
        </w:rPr>
        <w:lastRenderedPageBreak/>
        <w:t>Otros Activos</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4971EB" w:rsidRPr="004971EB" w:rsidTr="004971EB">
        <w:trPr>
          <w:trHeight w:val="255"/>
        </w:trPr>
        <w:tc>
          <w:tcPr>
            <w:tcW w:w="65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Software</w:t>
            </w:r>
          </w:p>
        </w:tc>
        <w:tc>
          <w:tcPr>
            <w:tcW w:w="300" w:type="dxa"/>
            <w:tcBorders>
              <w:top w:val="single" w:sz="8" w:space="0" w:color="auto"/>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75,888,804.91</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Patentes, Marcas y Derechos</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15,256,513.12</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Concesiones y Franquicias</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123,930,155.94</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Licencias</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5,291,245.37</w:t>
            </w:r>
          </w:p>
        </w:tc>
      </w:tr>
      <w:tr w:rsidR="004971EB" w:rsidRPr="004971EB" w:rsidTr="004971EB">
        <w:trPr>
          <w:trHeight w:val="270"/>
        </w:trPr>
        <w:tc>
          <w:tcPr>
            <w:tcW w:w="6514" w:type="dxa"/>
            <w:tcBorders>
              <w:top w:val="nil"/>
              <w:left w:val="single" w:sz="8" w:space="0" w:color="auto"/>
              <w:bottom w:val="single" w:sz="8"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Otros Activos Intangibles</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8,431,710.40</w:t>
            </w:r>
          </w:p>
        </w:tc>
      </w:tr>
      <w:tr w:rsidR="004971EB" w:rsidRPr="004971EB" w:rsidTr="004971EB">
        <w:trPr>
          <w:trHeight w:val="270"/>
        </w:trPr>
        <w:tc>
          <w:tcPr>
            <w:tcW w:w="6514" w:type="dxa"/>
            <w:tcBorders>
              <w:top w:val="nil"/>
              <w:left w:val="single" w:sz="8" w:space="0" w:color="auto"/>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Activos Intangibles</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jc w:val="right"/>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228,798,429.74</w:t>
            </w:r>
          </w:p>
        </w:tc>
      </w:tr>
    </w:tbl>
    <w:p w:rsidR="004971EB" w:rsidRPr="004B40C1" w:rsidRDefault="004971EB" w:rsidP="002A1486">
      <w:pPr>
        <w:spacing w:after="0"/>
        <w:jc w:val="both"/>
        <w:rPr>
          <w:rFonts w:ascii="Arial" w:hAnsi="Arial" w:cs="Arial"/>
          <w:b/>
          <w:sz w:val="24"/>
          <w:szCs w:val="24"/>
        </w:rPr>
      </w:pPr>
    </w:p>
    <w:p w:rsidR="002A1486" w:rsidRPr="004B40C1" w:rsidRDefault="002A1486" w:rsidP="002A1486">
      <w:pPr>
        <w:spacing w:after="0"/>
        <w:jc w:val="both"/>
        <w:rPr>
          <w:rFonts w:ascii="Arial" w:hAnsi="Arial" w:cs="Arial"/>
          <w:b/>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Pasivo</w:t>
      </w:r>
    </w:p>
    <w:p w:rsidR="002A1486" w:rsidRPr="004B40C1" w:rsidRDefault="002A1486" w:rsidP="002A1486">
      <w:pPr>
        <w:spacing w:after="0"/>
        <w:jc w:val="both"/>
        <w:rPr>
          <w:rFonts w:ascii="Arial" w:hAnsi="Arial" w:cs="Arial"/>
          <w:b/>
          <w:sz w:val="24"/>
          <w:szCs w:val="24"/>
        </w:rPr>
      </w:pPr>
    </w:p>
    <w:p w:rsidR="00F76C33" w:rsidRDefault="00F76C33" w:rsidP="002A1486">
      <w:pPr>
        <w:spacing w:after="0"/>
        <w:jc w:val="both"/>
        <w:rPr>
          <w:rFonts w:ascii="Arial" w:hAnsi="Arial" w:cs="Arial"/>
          <w:b/>
          <w:sz w:val="24"/>
          <w:szCs w:val="24"/>
        </w:rPr>
      </w:pPr>
      <w:r w:rsidRPr="004B40C1">
        <w:rPr>
          <w:rFonts w:ascii="Arial" w:hAnsi="Arial" w:cs="Arial"/>
          <w:b/>
          <w:sz w:val="24"/>
          <w:szCs w:val="24"/>
        </w:rPr>
        <w:t>Cuentas y Documentos por pagar</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4971EB" w:rsidRPr="004971EB" w:rsidTr="004971EB">
        <w:trPr>
          <w:trHeight w:val="255"/>
        </w:trPr>
        <w:tc>
          <w:tcPr>
            <w:tcW w:w="65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Servicios personales por pagar a corto plazo</w:t>
            </w:r>
          </w:p>
        </w:tc>
        <w:tc>
          <w:tcPr>
            <w:tcW w:w="300" w:type="dxa"/>
            <w:tcBorders>
              <w:top w:val="single" w:sz="8" w:space="0" w:color="auto"/>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71,859,499.43</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Proveedores por pagar a corto plazo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-26,206,820.17</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Contratistas por obas públicas por pagar a corto plazo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-527,131.16</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Transferencias otorgadas por pagar a corto plazo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60,414,550.05</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Retenciones y contribuciones por pagar a corto plazo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38,749,015.38</w:t>
            </w:r>
          </w:p>
        </w:tc>
      </w:tr>
      <w:tr w:rsidR="004971EB" w:rsidRPr="004971EB" w:rsidTr="004971EB">
        <w:trPr>
          <w:trHeight w:val="255"/>
        </w:trPr>
        <w:tc>
          <w:tcPr>
            <w:tcW w:w="6514" w:type="dxa"/>
            <w:tcBorders>
              <w:top w:val="nil"/>
              <w:left w:val="single" w:sz="8" w:space="0" w:color="auto"/>
              <w:bottom w:val="single" w:sz="4"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Devolución de la ley de ingresos por pagar a corto plazo</w:t>
            </w:r>
          </w:p>
        </w:tc>
        <w:tc>
          <w:tcPr>
            <w:tcW w:w="300" w:type="dxa"/>
            <w:tcBorders>
              <w:top w:val="nil"/>
              <w:left w:val="nil"/>
              <w:bottom w:val="single" w:sz="4"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64,887,629.76</w:t>
            </w:r>
          </w:p>
        </w:tc>
      </w:tr>
      <w:tr w:rsidR="004971EB" w:rsidRPr="004971EB" w:rsidTr="004971EB">
        <w:trPr>
          <w:trHeight w:val="270"/>
        </w:trPr>
        <w:tc>
          <w:tcPr>
            <w:tcW w:w="6514" w:type="dxa"/>
            <w:tcBorders>
              <w:top w:val="nil"/>
              <w:left w:val="single" w:sz="8" w:space="0" w:color="auto"/>
              <w:bottom w:val="single" w:sz="8" w:space="0" w:color="auto"/>
              <w:right w:val="single" w:sz="4" w:space="0" w:color="auto"/>
            </w:tcBorders>
            <w:shd w:val="clear" w:color="auto" w:fill="auto"/>
            <w:vAlign w:val="center"/>
            <w:hideMark/>
          </w:tcPr>
          <w:p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Otras cuentas por pagar a corto plazo</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0"/>
              <w:jc w:val="right"/>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-180,411.28</w:t>
            </w:r>
          </w:p>
        </w:tc>
      </w:tr>
      <w:tr w:rsidR="004971EB" w:rsidRPr="004971EB" w:rsidTr="004971EB">
        <w:trPr>
          <w:trHeight w:val="270"/>
        </w:trPr>
        <w:tc>
          <w:tcPr>
            <w:tcW w:w="6514" w:type="dxa"/>
            <w:tcBorders>
              <w:top w:val="nil"/>
              <w:left w:val="single" w:sz="8" w:space="0" w:color="auto"/>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cuentas por pagar a corto plazo</w:t>
            </w:r>
          </w:p>
        </w:tc>
        <w:tc>
          <w:tcPr>
            <w:tcW w:w="300" w:type="dxa"/>
            <w:tcBorders>
              <w:top w:val="nil"/>
              <w:left w:val="nil"/>
              <w:bottom w:val="single" w:sz="8" w:space="0" w:color="auto"/>
              <w:right w:val="nil"/>
            </w:tcBorders>
            <w:shd w:val="clear" w:color="auto" w:fill="auto"/>
            <w:vAlign w:val="center"/>
            <w:hideMark/>
          </w:tcPr>
          <w:p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shd w:val="clear" w:color="auto" w:fill="auto"/>
            <w:vAlign w:val="center"/>
            <w:hideMark/>
          </w:tcPr>
          <w:p w:rsidR="004971EB" w:rsidRPr="004971EB" w:rsidRDefault="004971EB" w:rsidP="004971EB">
            <w:pPr>
              <w:spacing w:after="0" w:line="240" w:lineRule="auto"/>
              <w:ind w:firstLineChars="100" w:firstLine="201"/>
              <w:jc w:val="right"/>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208,996,332.01</w:t>
            </w:r>
          </w:p>
        </w:tc>
      </w:tr>
    </w:tbl>
    <w:p w:rsidR="004971EB" w:rsidRPr="004B40C1" w:rsidRDefault="004971EB" w:rsidP="002A1486">
      <w:pPr>
        <w:spacing w:after="0"/>
        <w:jc w:val="both"/>
        <w:rPr>
          <w:rFonts w:ascii="Arial" w:hAnsi="Arial" w:cs="Arial"/>
          <w:b/>
          <w:sz w:val="24"/>
          <w:szCs w:val="24"/>
        </w:rPr>
      </w:pPr>
    </w:p>
    <w:p w:rsidR="002A1486" w:rsidRPr="004B40C1" w:rsidRDefault="00F76C33" w:rsidP="002A1486">
      <w:pPr>
        <w:spacing w:after="0"/>
        <w:jc w:val="both"/>
        <w:rPr>
          <w:rFonts w:ascii="Arial" w:hAnsi="Arial" w:cs="Arial"/>
          <w:b/>
          <w:sz w:val="24"/>
          <w:szCs w:val="24"/>
        </w:rPr>
      </w:pPr>
      <w:r w:rsidRPr="004B40C1">
        <w:rPr>
          <w:rFonts w:ascii="Arial" w:hAnsi="Arial" w:cs="Arial"/>
          <w:b/>
          <w:sz w:val="24"/>
          <w:szCs w:val="24"/>
        </w:rPr>
        <w:t>Fondos y Bienes de Terceros en Garantía y/o Administración</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Fondos y Bienes de Terceros en Garantía y/o Adminis</w:t>
      </w:r>
      <w:r w:rsidR="00FA5D55">
        <w:rPr>
          <w:rFonts w:ascii="Arial" w:hAnsi="Arial" w:cs="Arial"/>
          <w:sz w:val="24"/>
          <w:szCs w:val="24"/>
        </w:rPr>
        <w:t>tración por $</w:t>
      </w:r>
      <w:r w:rsidR="00E4316B">
        <w:rPr>
          <w:rFonts w:ascii="Arial" w:hAnsi="Arial" w:cs="Arial"/>
          <w:sz w:val="24"/>
          <w:szCs w:val="24"/>
        </w:rPr>
        <w:t>69</w:t>
      </w:r>
      <w:r w:rsidR="004971EB">
        <w:rPr>
          <w:rFonts w:ascii="Arial" w:hAnsi="Arial" w:cs="Arial"/>
          <w:sz w:val="24"/>
          <w:szCs w:val="24"/>
        </w:rPr>
        <w:t>4</w:t>
      </w:r>
      <w:r w:rsidRPr="004B40C1">
        <w:rPr>
          <w:rFonts w:ascii="Arial" w:hAnsi="Arial" w:cs="Arial"/>
          <w:sz w:val="24"/>
          <w:szCs w:val="24"/>
        </w:rPr>
        <w:t>,</w:t>
      </w:r>
      <w:r w:rsidR="004971EB">
        <w:rPr>
          <w:rFonts w:ascii="Arial" w:hAnsi="Arial" w:cs="Arial"/>
          <w:sz w:val="24"/>
          <w:szCs w:val="24"/>
        </w:rPr>
        <w:t>946.62</w:t>
      </w:r>
      <w:r w:rsidRPr="004B40C1">
        <w:rPr>
          <w:rFonts w:ascii="Arial" w:hAnsi="Arial" w:cs="Arial"/>
          <w:sz w:val="24"/>
          <w:szCs w:val="24"/>
        </w:rPr>
        <w:t>.</w:t>
      </w:r>
    </w:p>
    <w:p w:rsidR="002A1486" w:rsidRPr="004B40C1" w:rsidRDefault="002A1486" w:rsidP="002A1486">
      <w:pPr>
        <w:spacing w:after="0"/>
        <w:jc w:val="both"/>
        <w:rPr>
          <w:rFonts w:ascii="Arial" w:hAnsi="Arial" w:cs="Arial"/>
          <w:b/>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Otros Pasivos</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Ingresos por clasificar por $10</w:t>
      </w:r>
      <w:r w:rsidR="004971EB">
        <w:rPr>
          <w:rFonts w:ascii="Arial" w:hAnsi="Arial" w:cs="Arial"/>
          <w:sz w:val="24"/>
          <w:szCs w:val="24"/>
        </w:rPr>
        <w:t>9</w:t>
      </w:r>
      <w:r w:rsidRPr="004B40C1">
        <w:rPr>
          <w:rFonts w:ascii="Arial" w:hAnsi="Arial" w:cs="Arial"/>
          <w:sz w:val="24"/>
          <w:szCs w:val="24"/>
        </w:rPr>
        <w:t>,</w:t>
      </w:r>
      <w:r w:rsidR="004971EB">
        <w:rPr>
          <w:rFonts w:ascii="Arial" w:hAnsi="Arial" w:cs="Arial"/>
          <w:sz w:val="24"/>
          <w:szCs w:val="24"/>
        </w:rPr>
        <w:t>800</w:t>
      </w:r>
      <w:r w:rsidRPr="004B40C1">
        <w:rPr>
          <w:rFonts w:ascii="Arial" w:hAnsi="Arial" w:cs="Arial"/>
          <w:sz w:val="24"/>
          <w:szCs w:val="24"/>
        </w:rPr>
        <w:t>.</w:t>
      </w:r>
      <w:r w:rsidR="004971EB">
        <w:rPr>
          <w:rFonts w:ascii="Arial" w:hAnsi="Arial" w:cs="Arial"/>
          <w:sz w:val="24"/>
          <w:szCs w:val="24"/>
        </w:rPr>
        <w:t>00</w:t>
      </w:r>
      <w:r w:rsidRPr="004B40C1">
        <w:rPr>
          <w:rFonts w:ascii="Arial" w:hAnsi="Arial" w:cs="Arial"/>
          <w:sz w:val="24"/>
          <w:szCs w:val="24"/>
        </w:rPr>
        <w:t>.</w:t>
      </w:r>
    </w:p>
    <w:p w:rsidR="002A1486" w:rsidRPr="004B40C1" w:rsidRDefault="002A1486" w:rsidP="002A1486">
      <w:pPr>
        <w:spacing w:after="0"/>
        <w:jc w:val="both"/>
        <w:rPr>
          <w:rFonts w:ascii="Arial" w:hAnsi="Arial" w:cs="Arial"/>
          <w:sz w:val="24"/>
          <w:szCs w:val="24"/>
        </w:rPr>
      </w:pPr>
    </w:p>
    <w:p w:rsidR="002A1486" w:rsidRPr="004B40C1" w:rsidRDefault="002A1486" w:rsidP="002A1486">
      <w:pPr>
        <w:spacing w:after="0"/>
        <w:jc w:val="both"/>
        <w:rPr>
          <w:rFonts w:ascii="Arial" w:hAnsi="Arial" w:cs="Arial"/>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III) Notas al Estado de Variación en la Hacienda Pública</w:t>
      </w:r>
    </w:p>
    <w:p w:rsidR="002A1486" w:rsidRPr="004B40C1" w:rsidRDefault="002A1486" w:rsidP="002A1486">
      <w:pPr>
        <w:spacing w:after="0"/>
        <w:jc w:val="both"/>
        <w:rPr>
          <w:rFonts w:ascii="Arial" w:hAnsi="Arial" w:cs="Arial"/>
          <w:sz w:val="24"/>
          <w:szCs w:val="24"/>
        </w:rPr>
      </w:pPr>
    </w:p>
    <w:p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1. </w:t>
      </w:r>
      <w:r w:rsidR="00F76C33" w:rsidRPr="004B40C1">
        <w:rPr>
          <w:rFonts w:ascii="Arial" w:hAnsi="Arial" w:cs="Arial"/>
          <w:sz w:val="24"/>
          <w:szCs w:val="24"/>
        </w:rPr>
        <w:t>Modificaciones al Patrimonio Contribuido</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aquí presentado asciende a $70 millones de pesos, el cual no ha sufrido modificaciones respecto al saldo del ejercicio fiscal anterior y que se integra por el registro efectuado en ejercicios anteriores</w:t>
      </w:r>
      <w:r w:rsidR="002A1486" w:rsidRPr="004B40C1">
        <w:rPr>
          <w:rFonts w:ascii="Arial" w:hAnsi="Arial" w:cs="Arial"/>
          <w:sz w:val="24"/>
          <w:szCs w:val="24"/>
        </w:rPr>
        <w:t>.</w:t>
      </w:r>
    </w:p>
    <w:p w:rsidR="002A1486" w:rsidRPr="004B40C1" w:rsidRDefault="002A1486" w:rsidP="002A1486">
      <w:pPr>
        <w:spacing w:after="0"/>
        <w:jc w:val="both"/>
        <w:rPr>
          <w:rFonts w:ascii="Arial" w:hAnsi="Arial" w:cs="Arial"/>
          <w:sz w:val="24"/>
          <w:szCs w:val="24"/>
        </w:rPr>
      </w:pPr>
    </w:p>
    <w:p w:rsidR="00222F79" w:rsidRDefault="00222F79" w:rsidP="002A1486">
      <w:pPr>
        <w:spacing w:after="0"/>
        <w:jc w:val="both"/>
        <w:rPr>
          <w:rFonts w:ascii="Arial" w:hAnsi="Arial" w:cs="Arial"/>
          <w:sz w:val="24"/>
          <w:szCs w:val="24"/>
        </w:rPr>
      </w:pPr>
    </w:p>
    <w:p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2. </w:t>
      </w:r>
      <w:r w:rsidR="00F76C33" w:rsidRPr="004B40C1">
        <w:rPr>
          <w:rFonts w:ascii="Arial" w:hAnsi="Arial" w:cs="Arial"/>
          <w:sz w:val="24"/>
          <w:szCs w:val="24"/>
        </w:rPr>
        <w:t>Modificaciones al Patrimonio Generado</w:t>
      </w:r>
    </w:p>
    <w:p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presentado la Entidad gener</w:t>
      </w:r>
      <w:r w:rsidR="00822175">
        <w:rPr>
          <w:rFonts w:ascii="Arial" w:hAnsi="Arial" w:cs="Arial"/>
          <w:sz w:val="24"/>
          <w:szCs w:val="24"/>
        </w:rPr>
        <w:t>ó un ahorro por un importe de $3</w:t>
      </w:r>
      <w:r w:rsidRPr="004B40C1">
        <w:rPr>
          <w:rFonts w:ascii="Arial" w:hAnsi="Arial" w:cs="Arial"/>
          <w:sz w:val="24"/>
          <w:szCs w:val="24"/>
        </w:rPr>
        <w:t>,</w:t>
      </w:r>
      <w:r w:rsidR="0014535A">
        <w:rPr>
          <w:rFonts w:ascii="Arial" w:hAnsi="Arial" w:cs="Arial"/>
          <w:sz w:val="24"/>
          <w:szCs w:val="24"/>
        </w:rPr>
        <w:t>815</w:t>
      </w:r>
      <w:r w:rsidRPr="004B40C1">
        <w:rPr>
          <w:rFonts w:ascii="Arial" w:hAnsi="Arial" w:cs="Arial"/>
          <w:sz w:val="24"/>
          <w:szCs w:val="24"/>
        </w:rPr>
        <w:t xml:space="preserve"> millones de pesos, del cual puede observarse su conformación en el Estado de Actividades.</w:t>
      </w:r>
    </w:p>
    <w:p w:rsidR="002A1486" w:rsidRPr="004B40C1" w:rsidRDefault="002A1486" w:rsidP="002A1486">
      <w:pPr>
        <w:spacing w:after="0"/>
        <w:jc w:val="both"/>
        <w:rPr>
          <w:rFonts w:ascii="Arial" w:hAnsi="Arial" w:cs="Arial"/>
          <w:sz w:val="24"/>
          <w:szCs w:val="24"/>
        </w:rPr>
      </w:pPr>
    </w:p>
    <w:p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lastRenderedPageBreak/>
        <w:t>IV) Notas al Estado de Flujos de Efectivo</w:t>
      </w:r>
    </w:p>
    <w:p w:rsidR="00A836C7" w:rsidRPr="004B40C1" w:rsidRDefault="00A836C7" w:rsidP="002A1486">
      <w:pPr>
        <w:spacing w:after="0"/>
        <w:jc w:val="both"/>
        <w:rPr>
          <w:rFonts w:ascii="Arial" w:hAnsi="Arial" w:cs="Arial"/>
          <w:b/>
          <w:sz w:val="24"/>
          <w:szCs w:val="24"/>
        </w:rPr>
      </w:pPr>
    </w:p>
    <w:p w:rsidR="00F76C33" w:rsidRPr="0014535A" w:rsidRDefault="00F76C33" w:rsidP="0014535A">
      <w:pPr>
        <w:pStyle w:val="Prrafodelista"/>
        <w:numPr>
          <w:ilvl w:val="0"/>
          <w:numId w:val="3"/>
        </w:numPr>
        <w:spacing w:after="0"/>
        <w:ind w:left="284"/>
        <w:jc w:val="both"/>
        <w:rPr>
          <w:rFonts w:ascii="Arial" w:hAnsi="Arial" w:cs="Arial"/>
          <w:sz w:val="24"/>
          <w:szCs w:val="24"/>
        </w:rPr>
      </w:pPr>
      <w:r w:rsidRPr="0014535A">
        <w:rPr>
          <w:rFonts w:ascii="Arial" w:hAnsi="Arial" w:cs="Arial"/>
          <w:sz w:val="24"/>
          <w:szCs w:val="24"/>
        </w:rPr>
        <w:t>La integración del Efectivo y Equivalentes al Efectivo se presenta de la siguiente manera:</w:t>
      </w:r>
    </w:p>
    <w:tbl>
      <w:tblPr>
        <w:tblW w:w="8803" w:type="dxa"/>
        <w:tblInd w:w="55" w:type="dxa"/>
        <w:tblCellMar>
          <w:left w:w="70" w:type="dxa"/>
          <w:right w:w="70" w:type="dxa"/>
        </w:tblCellMar>
        <w:tblLook w:val="04A0" w:firstRow="1" w:lastRow="0" w:firstColumn="1" w:lastColumn="0" w:noHBand="0" w:noVBand="1"/>
      </w:tblPr>
      <w:tblGrid>
        <w:gridCol w:w="5118"/>
        <w:gridCol w:w="340"/>
        <w:gridCol w:w="1565"/>
        <w:gridCol w:w="340"/>
        <w:gridCol w:w="1440"/>
      </w:tblGrid>
      <w:tr w:rsidR="0014535A" w:rsidRPr="0014535A" w:rsidTr="0014535A">
        <w:trPr>
          <w:trHeight w:val="30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05"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2025</w:t>
            </w:r>
          </w:p>
        </w:tc>
        <w:tc>
          <w:tcPr>
            <w:tcW w:w="1780"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Efectivo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588,426.32</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557,588.04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Bancos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2,839,631,625.98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190,527,200.35</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Inversiones Temporales (Hasta 3 meses)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-336,251,088.49</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7,996,532.10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Fondos Con afectaciones Especifica</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-17,038,137.60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137,939.59</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Depósitos de fondos de terceros en Garantía y/o Administración</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799,113.45</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799,113.45</w:t>
            </w:r>
          </w:p>
        </w:tc>
      </w:tr>
      <w:tr w:rsidR="0014535A" w:rsidRPr="0014535A" w:rsidTr="0014535A">
        <w:trPr>
          <w:trHeight w:val="270"/>
        </w:trPr>
        <w:tc>
          <w:tcPr>
            <w:tcW w:w="5118" w:type="dxa"/>
            <w:tcBorders>
              <w:top w:val="nil"/>
              <w:left w:val="single" w:sz="8" w:space="0" w:color="auto"/>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Otros Efectivos y equivalentes</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65" w:type="dxa"/>
            <w:tcBorders>
              <w:top w:val="nil"/>
              <w:left w:val="nil"/>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w:t>
            </w:r>
            <w:r w:rsidRPr="0014535A">
              <w:rPr>
                <w:rFonts w:ascii="Calibri" w:eastAsia="Times New Roman" w:hAnsi="Calibri" w:cs="Calibri"/>
                <w:color w:val="000000"/>
                <w:sz w:val="18"/>
                <w:szCs w:val="18"/>
                <w:lang w:eastAsia="es-MX"/>
              </w:rPr>
              <w:t>358,579.31</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440" w:type="dxa"/>
            <w:tcBorders>
              <w:top w:val="nil"/>
              <w:left w:val="nil"/>
              <w:bottom w:val="nil"/>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3,504,438.06</w:t>
            </w:r>
          </w:p>
        </w:tc>
      </w:tr>
      <w:tr w:rsidR="0014535A" w:rsidRPr="0014535A" w:rsidTr="0014535A">
        <w:trPr>
          <w:trHeight w:val="27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Efectivo y equivalentes</w:t>
            </w:r>
          </w:p>
        </w:tc>
        <w:tc>
          <w:tcPr>
            <w:tcW w:w="340" w:type="dxa"/>
            <w:tcBorders>
              <w:top w:val="single" w:sz="8" w:space="0" w:color="auto"/>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 xml:space="preserve">  </w:t>
            </w:r>
            <w:r w:rsidRPr="0014535A">
              <w:rPr>
                <w:rFonts w:ascii="Calibri" w:eastAsia="Times New Roman" w:hAnsi="Calibri" w:cs="Calibri"/>
                <w:b/>
                <w:bCs/>
                <w:color w:val="000000"/>
                <w:sz w:val="18"/>
                <w:szCs w:val="18"/>
                <w:lang w:eastAsia="es-MX"/>
              </w:rPr>
              <w:t>2,488,088,518.97</w:t>
            </w:r>
          </w:p>
        </w:tc>
        <w:tc>
          <w:tcPr>
            <w:tcW w:w="340" w:type="dxa"/>
            <w:tcBorders>
              <w:top w:val="single" w:sz="8" w:space="0" w:color="auto"/>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 xml:space="preserve">  </w:t>
            </w:r>
            <w:r w:rsidRPr="0014535A">
              <w:rPr>
                <w:rFonts w:ascii="Calibri" w:eastAsia="Times New Roman" w:hAnsi="Calibri" w:cs="Calibri"/>
                <w:b/>
                <w:bCs/>
                <w:color w:val="000000"/>
                <w:sz w:val="18"/>
                <w:szCs w:val="18"/>
                <w:lang w:eastAsia="es-MX"/>
              </w:rPr>
              <w:t>203,522,811.59</w:t>
            </w:r>
          </w:p>
        </w:tc>
      </w:tr>
    </w:tbl>
    <w:p w:rsidR="00F76C33" w:rsidRPr="0014535A" w:rsidRDefault="00F76C33" w:rsidP="0014535A">
      <w:pPr>
        <w:spacing w:after="0"/>
        <w:jc w:val="both"/>
        <w:rPr>
          <w:rFonts w:ascii="Arial" w:hAnsi="Arial" w:cs="Arial"/>
          <w:sz w:val="24"/>
          <w:szCs w:val="24"/>
        </w:rPr>
      </w:pPr>
    </w:p>
    <w:p w:rsidR="00F76C33" w:rsidRDefault="00F76C33" w:rsidP="00324C82">
      <w:pPr>
        <w:jc w:val="both"/>
        <w:rPr>
          <w:rFonts w:ascii="Arial" w:hAnsi="Arial" w:cs="Arial"/>
          <w:sz w:val="24"/>
          <w:szCs w:val="24"/>
        </w:rPr>
      </w:pPr>
      <w:r w:rsidRPr="004B40C1">
        <w:rPr>
          <w:rFonts w:ascii="Arial" w:hAnsi="Arial" w:cs="Arial"/>
          <w:sz w:val="24"/>
          <w:szCs w:val="24"/>
        </w:rPr>
        <w:t>2. Las Actividades de Inversión efectivamente pagadas respecto a los bienes muebles e inmuebles, así como los Bienes Muebles e Inmuebles adquiridos en ejercicios anteriores como Patrimonio del Municipio son las que a continuación se detallan:</w:t>
      </w:r>
    </w:p>
    <w:tbl>
      <w:tblPr>
        <w:tblW w:w="8946" w:type="dxa"/>
        <w:tblInd w:w="55" w:type="dxa"/>
        <w:tblCellMar>
          <w:left w:w="70" w:type="dxa"/>
          <w:right w:w="70" w:type="dxa"/>
        </w:tblCellMar>
        <w:tblLook w:val="04A0" w:firstRow="1" w:lastRow="0" w:firstColumn="1" w:lastColumn="0" w:noHBand="0" w:noVBand="1"/>
      </w:tblPr>
      <w:tblGrid>
        <w:gridCol w:w="5118"/>
        <w:gridCol w:w="340"/>
        <w:gridCol w:w="1645"/>
        <w:gridCol w:w="340"/>
        <w:gridCol w:w="1503"/>
      </w:tblGrid>
      <w:tr w:rsidR="0014535A" w:rsidRPr="0014535A" w:rsidTr="0014535A">
        <w:trPr>
          <w:trHeight w:val="300"/>
        </w:trPr>
        <w:tc>
          <w:tcPr>
            <w:tcW w:w="51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85"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2025</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2024</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Inmuebles, Infraestructura y Construcciones en Proceso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Pr="0014535A">
              <w:rPr>
                <w:rFonts w:ascii="Calibri" w:eastAsia="Times New Roman" w:hAnsi="Calibri" w:cs="Calibri"/>
                <w:b/>
                <w:bCs/>
                <w:color w:val="000000"/>
                <w:sz w:val="18"/>
                <w:szCs w:val="20"/>
                <w:lang w:eastAsia="es-MX"/>
              </w:rPr>
              <w:t>10,287,158,119.42</w:t>
            </w:r>
          </w:p>
        </w:tc>
        <w:tc>
          <w:tcPr>
            <w:tcW w:w="340" w:type="dxa"/>
            <w:tcBorders>
              <w:top w:val="nil"/>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Pr="0014535A">
              <w:rPr>
                <w:rFonts w:ascii="Calibri" w:eastAsia="Times New Roman" w:hAnsi="Calibri" w:cs="Calibri"/>
                <w:b/>
                <w:bCs/>
                <w:color w:val="000000"/>
                <w:sz w:val="18"/>
                <w:szCs w:val="20"/>
                <w:lang w:eastAsia="es-MX"/>
              </w:rPr>
              <w:t>9,672,856,449.62</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Terrenos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389,839,742.58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389,839,742.58</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Viviendas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Edificaciones no Habitacionales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1,297,424,423.35</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1,297,424,423.35</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Infraestructura</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3,940,485,680.18</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3,940,485,680.18</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de Dominio Público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4,421,525,223.12</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4,045,106,603.51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Propios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237,883,050.19</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nil"/>
              <w:left w:val="single" w:sz="8" w:space="0" w:color="auto"/>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Otros Bienes Inmuebles</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nil"/>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c>
          <w:tcPr>
            <w:tcW w:w="340" w:type="dxa"/>
            <w:tcBorders>
              <w:top w:val="nil"/>
              <w:left w:val="nil"/>
              <w:bottom w:val="nil"/>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nil"/>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0.00</w:t>
            </w:r>
          </w:p>
        </w:tc>
      </w:tr>
      <w:tr w:rsidR="0014535A" w:rsidRPr="0014535A" w:rsidTr="0014535A">
        <w:trPr>
          <w:trHeight w:val="300"/>
        </w:trPr>
        <w:tc>
          <w:tcPr>
            <w:tcW w:w="51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Muebles</w:t>
            </w:r>
          </w:p>
        </w:tc>
        <w:tc>
          <w:tcPr>
            <w:tcW w:w="340" w:type="dxa"/>
            <w:tcBorders>
              <w:top w:val="single" w:sz="8" w:space="0" w:color="auto"/>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Pr>
                <w:rFonts w:ascii="Calibri" w:eastAsia="Times New Roman" w:hAnsi="Calibri" w:cs="Calibri"/>
                <w:b/>
                <w:bCs/>
                <w:color w:val="000000"/>
                <w:sz w:val="18"/>
                <w:szCs w:val="20"/>
                <w:lang w:eastAsia="es-MX"/>
              </w:rPr>
              <w:t xml:space="preserve">   </w:t>
            </w:r>
            <w:r w:rsidRPr="0014535A">
              <w:rPr>
                <w:rFonts w:ascii="Calibri" w:eastAsia="Times New Roman" w:hAnsi="Calibri" w:cs="Calibri"/>
                <w:b/>
                <w:bCs/>
                <w:color w:val="000000"/>
                <w:sz w:val="18"/>
                <w:szCs w:val="20"/>
                <w:lang w:eastAsia="es-MX"/>
              </w:rPr>
              <w:t>3,140,908,327.79</w:t>
            </w:r>
          </w:p>
        </w:tc>
        <w:tc>
          <w:tcPr>
            <w:tcW w:w="340" w:type="dxa"/>
            <w:tcBorders>
              <w:top w:val="single" w:sz="8" w:space="0" w:color="auto"/>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2,907,121,555.01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de Administración</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515,180,692.29</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510,491,990.06</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educacional y recreativo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132,526,798.10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132,526,798.10</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e instrumental médico y de laboratorio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97,635,710.74</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86,516,440.47</w:t>
            </w:r>
          </w:p>
        </w:tc>
      </w:tr>
      <w:tr w:rsidR="0014535A" w:rsidRPr="0014535A" w:rsidTr="0014535A">
        <w:trPr>
          <w:trHeight w:val="255"/>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Vehículos y equipo de transporte</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1,644,802,736.62</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1,457,448,042.61</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de Defensa y Seguridad</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172,251,345.80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161,743,844.67</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Maquinaria, Otros Equipos y Herramientas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547,992,559.51</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527,875,954.37</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Colecciones, Obras de arte y Objetos Valiosos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29,273,238.23</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29,273,238.23</w:t>
            </w:r>
          </w:p>
        </w:tc>
      </w:tr>
      <w:tr w:rsidR="0014535A" w:rsidRPr="0014535A" w:rsidTr="0014535A">
        <w:trPr>
          <w:trHeight w:val="300"/>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Biológicos</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1,245,246.50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Pr>
                <w:rFonts w:ascii="Calibri" w:eastAsia="Times New Roman" w:hAnsi="Calibri" w:cs="Calibri"/>
                <w:color w:val="000000"/>
                <w:sz w:val="18"/>
                <w:szCs w:val="20"/>
                <w:lang w:eastAsia="es-MX"/>
              </w:rPr>
              <w:t xml:space="preserve"> </w:t>
            </w:r>
            <w:r w:rsidRPr="0014535A">
              <w:rPr>
                <w:rFonts w:ascii="Calibri" w:eastAsia="Times New Roman" w:hAnsi="Calibri" w:cs="Calibri"/>
                <w:color w:val="000000"/>
                <w:sz w:val="18"/>
                <w:szCs w:val="20"/>
                <w:lang w:eastAsia="es-MX"/>
              </w:rPr>
              <w:t>1,245,246.50</w:t>
            </w:r>
          </w:p>
        </w:tc>
      </w:tr>
      <w:tr w:rsidR="0014535A" w:rsidRPr="0014535A" w:rsidTr="0014535A">
        <w:trPr>
          <w:trHeight w:val="255"/>
        </w:trPr>
        <w:tc>
          <w:tcPr>
            <w:tcW w:w="51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Otras Aplicaciones de Inversión</w:t>
            </w:r>
          </w:p>
        </w:tc>
        <w:tc>
          <w:tcPr>
            <w:tcW w:w="340" w:type="dxa"/>
            <w:tcBorders>
              <w:top w:val="single" w:sz="8" w:space="0" w:color="auto"/>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645"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1"/>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464,844,704.44</w:t>
            </w:r>
          </w:p>
        </w:tc>
        <w:tc>
          <w:tcPr>
            <w:tcW w:w="340" w:type="dxa"/>
            <w:tcBorders>
              <w:top w:val="single" w:sz="8" w:space="0" w:color="auto"/>
              <w:left w:val="single" w:sz="4" w:space="0" w:color="auto"/>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w:t>
            </w:r>
          </w:p>
        </w:tc>
        <w:tc>
          <w:tcPr>
            <w:tcW w:w="1503" w:type="dxa"/>
            <w:tcBorders>
              <w:top w:val="single" w:sz="8" w:space="0" w:color="auto"/>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483,393,010.44</w:t>
            </w:r>
          </w:p>
        </w:tc>
      </w:tr>
      <w:tr w:rsidR="0014535A" w:rsidRPr="0014535A" w:rsidTr="0014535A">
        <w:trPr>
          <w:trHeight w:val="255"/>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Inversiones Financieras a Largo Plazo</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4"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236,046,274.70</w:t>
            </w:r>
          </w:p>
        </w:tc>
        <w:tc>
          <w:tcPr>
            <w:tcW w:w="340" w:type="dxa"/>
            <w:tcBorders>
              <w:top w:val="nil"/>
              <w:left w:val="nil"/>
              <w:bottom w:val="single" w:sz="4"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4"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271,372,363.85</w:t>
            </w:r>
          </w:p>
        </w:tc>
      </w:tr>
      <w:tr w:rsidR="0014535A" w:rsidRPr="0014535A" w:rsidTr="0014535A">
        <w:trPr>
          <w:trHeight w:val="270"/>
        </w:trPr>
        <w:tc>
          <w:tcPr>
            <w:tcW w:w="5118" w:type="dxa"/>
            <w:tcBorders>
              <w:top w:val="nil"/>
              <w:left w:val="single" w:sz="8" w:space="0" w:color="auto"/>
              <w:bottom w:val="single" w:sz="8"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Intangibles</w:t>
            </w:r>
          </w:p>
        </w:tc>
        <w:tc>
          <w:tcPr>
            <w:tcW w:w="340" w:type="dxa"/>
            <w:tcBorders>
              <w:top w:val="nil"/>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645" w:type="dxa"/>
            <w:tcBorders>
              <w:top w:val="nil"/>
              <w:left w:val="nil"/>
              <w:bottom w:val="single" w:sz="8" w:space="0" w:color="auto"/>
              <w:right w:val="single" w:sz="4" w:space="0" w:color="auto"/>
            </w:tcBorders>
            <w:shd w:val="clear" w:color="auto" w:fill="auto"/>
            <w:vAlign w:val="center"/>
            <w:hideMark/>
          </w:tcPr>
          <w:p w:rsidR="0014535A" w:rsidRPr="0014535A" w:rsidRDefault="0014535A" w:rsidP="0014535A">
            <w:pPr>
              <w:spacing w:after="0" w:line="240" w:lineRule="auto"/>
              <w:ind w:firstLineChars="100" w:firstLine="180"/>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228,798,429.74</w:t>
            </w:r>
          </w:p>
        </w:tc>
        <w:tc>
          <w:tcPr>
            <w:tcW w:w="340" w:type="dxa"/>
            <w:tcBorders>
              <w:top w:val="nil"/>
              <w:left w:val="nil"/>
              <w:bottom w:val="single" w:sz="8" w:space="0" w:color="auto"/>
              <w:right w:val="nil"/>
            </w:tcBorders>
            <w:shd w:val="clear" w:color="auto" w:fill="auto"/>
            <w:vAlign w:val="center"/>
            <w:hideMark/>
          </w:tcPr>
          <w:p w:rsidR="0014535A" w:rsidRPr="0014535A" w:rsidRDefault="0014535A" w:rsidP="0014535A">
            <w:pPr>
              <w:spacing w:after="0" w:line="240" w:lineRule="auto"/>
              <w:jc w:val="center"/>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w:t>
            </w:r>
          </w:p>
        </w:tc>
        <w:tc>
          <w:tcPr>
            <w:tcW w:w="1503" w:type="dxa"/>
            <w:tcBorders>
              <w:top w:val="nil"/>
              <w:left w:val="nil"/>
              <w:bottom w:val="single" w:sz="8" w:space="0" w:color="auto"/>
              <w:right w:val="single" w:sz="8" w:space="0" w:color="auto"/>
            </w:tcBorders>
            <w:shd w:val="clear" w:color="auto" w:fill="auto"/>
            <w:vAlign w:val="center"/>
            <w:hideMark/>
          </w:tcPr>
          <w:p w:rsidR="0014535A" w:rsidRPr="0014535A" w:rsidRDefault="0014535A" w:rsidP="0014535A">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212,020,646.59</w:t>
            </w:r>
          </w:p>
        </w:tc>
      </w:tr>
    </w:tbl>
    <w:p w:rsidR="0014535A" w:rsidRPr="004B40C1" w:rsidRDefault="0014535A" w:rsidP="00324C82">
      <w:pPr>
        <w:jc w:val="both"/>
        <w:rPr>
          <w:rFonts w:ascii="Arial" w:hAnsi="Arial" w:cs="Arial"/>
          <w:sz w:val="24"/>
          <w:szCs w:val="24"/>
        </w:rPr>
      </w:pPr>
    </w:p>
    <w:p w:rsidR="00F76C33" w:rsidRPr="004B40C1" w:rsidRDefault="00F76C33" w:rsidP="00324C82">
      <w:pPr>
        <w:jc w:val="both"/>
        <w:rPr>
          <w:rFonts w:ascii="Arial" w:hAnsi="Arial" w:cs="Arial"/>
          <w:sz w:val="24"/>
          <w:szCs w:val="24"/>
        </w:rPr>
      </w:pPr>
    </w:p>
    <w:p w:rsidR="00F76C33" w:rsidRDefault="00324C82" w:rsidP="00324C82">
      <w:pPr>
        <w:jc w:val="both"/>
        <w:rPr>
          <w:rFonts w:ascii="Arial" w:hAnsi="Arial" w:cs="Arial"/>
          <w:sz w:val="24"/>
          <w:szCs w:val="24"/>
        </w:rPr>
      </w:pPr>
      <w:r w:rsidRPr="004B40C1">
        <w:rPr>
          <w:rFonts w:ascii="Arial" w:hAnsi="Arial" w:cs="Arial"/>
          <w:sz w:val="24"/>
          <w:szCs w:val="24"/>
        </w:rPr>
        <w:lastRenderedPageBreak/>
        <w:t>3. Conciliación de los Flujos de Efectivo Netos de las Actividades de Operación y los saldos de Resultados del Ejercicio Ahorro/Desahorro.</w:t>
      </w:r>
    </w:p>
    <w:tbl>
      <w:tblPr>
        <w:tblW w:w="8856" w:type="dxa"/>
        <w:tblInd w:w="55" w:type="dxa"/>
        <w:tblCellMar>
          <w:left w:w="70" w:type="dxa"/>
          <w:right w:w="70" w:type="dxa"/>
        </w:tblCellMar>
        <w:tblLook w:val="04A0" w:firstRow="1" w:lastRow="0" w:firstColumn="1" w:lastColumn="0" w:noHBand="0" w:noVBand="1"/>
      </w:tblPr>
      <w:tblGrid>
        <w:gridCol w:w="5085"/>
        <w:gridCol w:w="317"/>
        <w:gridCol w:w="1565"/>
        <w:gridCol w:w="324"/>
        <w:gridCol w:w="1565"/>
      </w:tblGrid>
      <w:tr w:rsidR="002240C7" w:rsidRPr="002240C7" w:rsidTr="002240C7">
        <w:trPr>
          <w:trHeight w:val="300"/>
        </w:trPr>
        <w:tc>
          <w:tcPr>
            <w:tcW w:w="5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CONCEPTO</w:t>
            </w:r>
          </w:p>
        </w:tc>
        <w:tc>
          <w:tcPr>
            <w:tcW w:w="1882"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2025</w:t>
            </w:r>
          </w:p>
        </w:tc>
        <w:tc>
          <w:tcPr>
            <w:tcW w:w="1889"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2024</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Resultado del Ejercicio Ahorro/Desahorro</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3,814,752,626.31</w:t>
            </w:r>
          </w:p>
        </w:tc>
        <w:tc>
          <w:tcPr>
            <w:tcW w:w="324" w:type="dxa"/>
            <w:tcBorders>
              <w:top w:val="nil"/>
              <w:left w:val="single" w:sz="4" w:space="0" w:color="auto"/>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2,121,149,963.24</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Movimientos de partidas (o rubros) que no afectan al efectivo</w:t>
            </w:r>
          </w:p>
        </w:tc>
        <w:tc>
          <w:tcPr>
            <w:tcW w:w="317" w:type="dxa"/>
            <w:tcBorders>
              <w:top w:val="single" w:sz="8" w:space="0" w:color="auto"/>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c>
          <w:tcPr>
            <w:tcW w:w="324" w:type="dxa"/>
            <w:tcBorders>
              <w:top w:val="single" w:sz="8" w:space="0" w:color="auto"/>
              <w:left w:val="single" w:sz="4" w:space="0" w:color="auto"/>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Depreciación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Amortización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Incrementos en las provisiones</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Inversiones producido por revaluación</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51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D27E2A">
            <w:pPr>
              <w:spacing w:after="0" w:line="240" w:lineRule="auto"/>
              <w:ind w:left="229"/>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Ganancia/pérdida en venta de bienes muebles, inmuebles e intangibles</w:t>
            </w:r>
            <w:r w:rsidRPr="002240C7">
              <w:rPr>
                <w:rFonts w:ascii="Calibri" w:eastAsia="Times New Roman" w:hAnsi="Calibri" w:cs="Calibri"/>
                <w:color w:val="000000"/>
                <w:sz w:val="18"/>
                <w:szCs w:val="20"/>
                <w:lang w:eastAsia="es-MX"/>
              </w:rPr>
              <w:t>.</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30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cuentas por cobrar</w:t>
            </w:r>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rsidTr="002240C7">
        <w:trPr>
          <w:trHeight w:val="270"/>
        </w:trPr>
        <w:tc>
          <w:tcPr>
            <w:tcW w:w="5085"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Disminución en cuentas por pagar/patrimonio</w:t>
            </w:r>
            <w:bookmarkStart w:id="0" w:name="_GoBack"/>
            <w:bookmarkEnd w:id="0"/>
          </w:p>
        </w:tc>
        <w:tc>
          <w:tcPr>
            <w:tcW w:w="317"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2240C7">
              <w:rPr>
                <w:rFonts w:ascii="Calibri" w:eastAsia="Times New Roman" w:hAnsi="Calibri" w:cs="Calibri"/>
                <w:color w:val="000000"/>
                <w:sz w:val="20"/>
                <w:szCs w:val="20"/>
                <w:lang w:eastAsia="es-MX"/>
              </w:rPr>
              <w:t>116,955,634.97</w:t>
            </w:r>
          </w:p>
        </w:tc>
      </w:tr>
      <w:tr w:rsidR="002240C7" w:rsidRPr="002240C7" w:rsidTr="002240C7">
        <w:trPr>
          <w:trHeight w:val="270"/>
        </w:trPr>
        <w:tc>
          <w:tcPr>
            <w:tcW w:w="5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Flujos de Efectivo Netos de las Actividades de Operación</w:t>
            </w:r>
          </w:p>
        </w:tc>
        <w:tc>
          <w:tcPr>
            <w:tcW w:w="317" w:type="dxa"/>
            <w:tcBorders>
              <w:top w:val="single" w:sz="8" w:space="0" w:color="auto"/>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3,814,752,626.31</w:t>
            </w:r>
          </w:p>
        </w:tc>
        <w:tc>
          <w:tcPr>
            <w:tcW w:w="324" w:type="dxa"/>
            <w:tcBorders>
              <w:top w:val="single" w:sz="8" w:space="0" w:color="auto"/>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2,238,105,598.21</w:t>
            </w:r>
          </w:p>
        </w:tc>
      </w:tr>
    </w:tbl>
    <w:p w:rsidR="0014535A" w:rsidRPr="004B40C1" w:rsidRDefault="0014535A" w:rsidP="00324C82">
      <w:pPr>
        <w:jc w:val="both"/>
        <w:rPr>
          <w:rFonts w:ascii="Arial" w:hAnsi="Arial" w:cs="Arial"/>
          <w:sz w:val="24"/>
          <w:szCs w:val="24"/>
        </w:rPr>
      </w:pPr>
    </w:p>
    <w:p w:rsidR="00324C82" w:rsidRPr="004B40C1" w:rsidRDefault="00324C82" w:rsidP="00324C82">
      <w:pPr>
        <w:jc w:val="both"/>
        <w:rPr>
          <w:rFonts w:ascii="Arial" w:hAnsi="Arial" w:cs="Arial"/>
          <w:b/>
          <w:sz w:val="24"/>
          <w:szCs w:val="24"/>
        </w:rPr>
      </w:pPr>
      <w:r w:rsidRPr="004B40C1">
        <w:rPr>
          <w:rFonts w:ascii="Arial" w:hAnsi="Arial" w:cs="Arial"/>
          <w:b/>
          <w:sz w:val="24"/>
          <w:szCs w:val="24"/>
        </w:rPr>
        <w:t>V) Conciliación entre los Ingresos Presupuestarios y Contables, así como entre los Egresos Presupuestarios y los Gastos Contables</w:t>
      </w:r>
    </w:p>
    <w:p w:rsidR="00324C82" w:rsidRDefault="00324C82" w:rsidP="00324C82">
      <w:pPr>
        <w:jc w:val="both"/>
        <w:rPr>
          <w:rFonts w:ascii="Arial" w:hAnsi="Arial" w:cs="Arial"/>
          <w:sz w:val="24"/>
          <w:szCs w:val="24"/>
        </w:rPr>
      </w:pPr>
      <w:r w:rsidRPr="004B40C1">
        <w:rPr>
          <w:rFonts w:ascii="Arial" w:hAnsi="Arial" w:cs="Arial"/>
          <w:sz w:val="24"/>
          <w:szCs w:val="24"/>
        </w:rPr>
        <w:t>La conciliación se presentará atendiendo a lo dispuesto por el “Acuerdo por el que se emite el formato entre los ingresos presupuestarios y contables, así como entre los egresos presupuestarios y los gastos contables” y sus modificaciones.</w:t>
      </w:r>
    </w:p>
    <w:p w:rsidR="00BB424A" w:rsidRPr="004B40C1" w:rsidRDefault="00BB424A" w:rsidP="00324C82">
      <w:pPr>
        <w:jc w:val="both"/>
        <w:rPr>
          <w:rFonts w:ascii="Arial" w:hAnsi="Arial" w:cs="Arial"/>
          <w:sz w:val="24"/>
          <w:szCs w:val="24"/>
        </w:rPr>
      </w:pPr>
    </w:p>
    <w:p w:rsidR="00A836C7" w:rsidRDefault="00FB7C37" w:rsidP="009449F7">
      <w:pPr>
        <w:jc w:val="center"/>
        <w:rPr>
          <w:rFonts w:ascii="Arial" w:hAnsi="Arial" w:cs="Arial"/>
          <w:b/>
          <w:sz w:val="24"/>
          <w:szCs w:val="24"/>
        </w:rPr>
      </w:pPr>
      <w:r w:rsidRPr="004B40C1">
        <w:rPr>
          <w:rFonts w:ascii="Arial" w:hAnsi="Arial" w:cs="Arial"/>
          <w:b/>
          <w:sz w:val="24"/>
          <w:szCs w:val="24"/>
        </w:rPr>
        <w:t>C) NOTAS DE MEMORIA</w:t>
      </w:r>
    </w:p>
    <w:p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Contables</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1. Valores en custodia de instrumentos prestados a formadores de mercado e instrumentos de crédito, no aplica.</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2. Tipo de emisión de instrumento, no aplica.</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3. Contratos firmados de construcciones por tipo de contrato, no aplica.</w:t>
      </w:r>
    </w:p>
    <w:p w:rsidR="009B7B98" w:rsidRPr="000A38F0" w:rsidRDefault="009B7B98" w:rsidP="009B7B98">
      <w:pPr>
        <w:spacing w:after="0"/>
        <w:jc w:val="both"/>
        <w:rPr>
          <w:rFonts w:ascii="Arial" w:hAnsi="Arial" w:cs="Arial"/>
          <w:sz w:val="24"/>
          <w:szCs w:val="24"/>
          <w:u w:val="single"/>
        </w:rPr>
      </w:pPr>
    </w:p>
    <w:p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Presupuestales</w:t>
      </w:r>
    </w:p>
    <w:p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Los momentos contables de las cuentas presupuestales se presentan a continuación atendiendo las disposiciones establecidas:</w:t>
      </w:r>
    </w:p>
    <w:p w:rsidR="009B7B98" w:rsidRPr="004B40C1" w:rsidRDefault="009B7B98" w:rsidP="00324C82">
      <w:pPr>
        <w:jc w:val="both"/>
        <w:rPr>
          <w:rFonts w:ascii="Arial" w:hAnsi="Arial" w:cs="Arial"/>
          <w:b/>
          <w:sz w:val="24"/>
          <w:szCs w:val="24"/>
        </w:rPr>
      </w:pPr>
    </w:p>
    <w:p w:rsidR="002240C7" w:rsidRDefault="002240C7" w:rsidP="00A836C7">
      <w:pPr>
        <w:jc w:val="both"/>
        <w:rPr>
          <w:rFonts w:ascii="Arial" w:hAnsi="Arial" w:cs="Arial"/>
          <w:sz w:val="24"/>
          <w:szCs w:val="24"/>
        </w:rPr>
      </w:pPr>
    </w:p>
    <w:p w:rsidR="002240C7" w:rsidRDefault="002240C7" w:rsidP="00A836C7">
      <w:pPr>
        <w:jc w:val="both"/>
        <w:rPr>
          <w:rFonts w:ascii="Arial" w:hAnsi="Arial" w:cs="Arial"/>
          <w:sz w:val="24"/>
          <w:szCs w:val="24"/>
        </w:rPr>
      </w:pPr>
    </w:p>
    <w:tbl>
      <w:tblPr>
        <w:tblW w:w="8804" w:type="dxa"/>
        <w:tblInd w:w="55" w:type="dxa"/>
        <w:tblLayout w:type="fixed"/>
        <w:tblCellMar>
          <w:left w:w="70" w:type="dxa"/>
          <w:right w:w="70" w:type="dxa"/>
        </w:tblCellMar>
        <w:tblLook w:val="04A0" w:firstRow="1" w:lastRow="0" w:firstColumn="1" w:lastColumn="0" w:noHBand="0" w:noVBand="1"/>
      </w:tblPr>
      <w:tblGrid>
        <w:gridCol w:w="6394"/>
        <w:gridCol w:w="160"/>
        <w:gridCol w:w="2250"/>
      </w:tblGrid>
      <w:tr w:rsidR="002240C7" w:rsidRPr="002240C7" w:rsidTr="002240C7">
        <w:trPr>
          <w:trHeight w:val="375"/>
        </w:trPr>
        <w:tc>
          <w:tcPr>
            <w:tcW w:w="880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lastRenderedPageBreak/>
              <w:t>Cuentas de Orden Presupuestarias de Ingresos</w:t>
            </w:r>
          </w:p>
        </w:tc>
      </w:tr>
      <w:tr w:rsidR="002240C7" w:rsidRPr="002240C7" w:rsidTr="002240C7">
        <w:trPr>
          <w:trHeight w:val="540"/>
        </w:trPr>
        <w:tc>
          <w:tcPr>
            <w:tcW w:w="6394" w:type="dxa"/>
            <w:tcBorders>
              <w:top w:val="nil"/>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10"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30 de septiembre del 2025</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Estimada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por Ejecutar</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2,722,837,912</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 la Ley de Ingresos Estimada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51,584,350</w:t>
            </w:r>
          </w:p>
        </w:tc>
      </w:tr>
      <w:tr w:rsidR="002240C7" w:rsidRPr="002240C7" w:rsidTr="002240C7">
        <w:trPr>
          <w:trHeight w:val="30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Devengada</w:t>
            </w:r>
          </w:p>
        </w:tc>
        <w:tc>
          <w:tcPr>
            <w:tcW w:w="160"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9,819,886,342</w:t>
            </w:r>
          </w:p>
        </w:tc>
      </w:tr>
      <w:tr w:rsidR="002240C7" w:rsidRPr="002240C7" w:rsidTr="002240C7">
        <w:trPr>
          <w:trHeight w:val="315"/>
        </w:trPr>
        <w:tc>
          <w:tcPr>
            <w:tcW w:w="6394" w:type="dxa"/>
            <w:tcBorders>
              <w:top w:val="nil"/>
              <w:left w:val="single" w:sz="8" w:space="0" w:color="auto"/>
              <w:bottom w:val="single" w:sz="8"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Recaudada</w:t>
            </w:r>
          </w:p>
        </w:tc>
        <w:tc>
          <w:tcPr>
            <w:tcW w:w="160" w:type="dxa"/>
            <w:tcBorders>
              <w:top w:val="nil"/>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9,819,886,342</w:t>
            </w:r>
          </w:p>
        </w:tc>
      </w:tr>
    </w:tbl>
    <w:p w:rsidR="002240C7" w:rsidRDefault="002240C7" w:rsidP="00A836C7">
      <w:pPr>
        <w:jc w:val="both"/>
        <w:rPr>
          <w:rFonts w:ascii="Arial" w:hAnsi="Arial" w:cs="Arial"/>
          <w:sz w:val="24"/>
          <w:szCs w:val="24"/>
        </w:rPr>
      </w:pPr>
    </w:p>
    <w:tbl>
      <w:tblPr>
        <w:tblW w:w="8804" w:type="dxa"/>
        <w:tblInd w:w="55" w:type="dxa"/>
        <w:tblCellMar>
          <w:left w:w="70" w:type="dxa"/>
          <w:right w:w="70" w:type="dxa"/>
        </w:tblCellMar>
        <w:tblLook w:val="04A0" w:firstRow="1" w:lastRow="0" w:firstColumn="1" w:lastColumn="0" w:noHBand="0" w:noVBand="1"/>
      </w:tblPr>
      <w:tblGrid>
        <w:gridCol w:w="6317"/>
        <w:gridCol w:w="242"/>
        <w:gridCol w:w="2245"/>
      </w:tblGrid>
      <w:tr w:rsidR="002240C7" w:rsidRPr="002240C7" w:rsidTr="002240C7">
        <w:trPr>
          <w:trHeight w:val="315"/>
        </w:trPr>
        <w:tc>
          <w:tcPr>
            <w:tcW w:w="880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Cuentas de Orden Presupuestarias de Egresos</w:t>
            </w:r>
          </w:p>
        </w:tc>
      </w:tr>
      <w:tr w:rsidR="002240C7" w:rsidRPr="002240C7" w:rsidTr="002240C7">
        <w:trPr>
          <w:trHeight w:val="540"/>
        </w:trPr>
        <w:tc>
          <w:tcPr>
            <w:tcW w:w="6317" w:type="dxa"/>
            <w:tcBorders>
              <w:top w:val="nil"/>
              <w:left w:val="single" w:sz="8" w:space="0" w:color="auto"/>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87" w:type="dxa"/>
            <w:gridSpan w:val="2"/>
            <w:tcBorders>
              <w:top w:val="single" w:sz="8" w:space="0" w:color="auto"/>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30 de septiembre del 2025</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Aprobado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por Ejercer</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3,688,088,918</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al Presupuesto de Egresos Aprobado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-51,584,350</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Comprometido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1,916,386,141</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Devengado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6,938,249,194</w:t>
            </w:r>
          </w:p>
        </w:tc>
      </w:tr>
      <w:tr w:rsidR="002240C7" w:rsidRPr="002240C7" w:rsidTr="002240C7">
        <w:trPr>
          <w:trHeight w:val="300"/>
        </w:trPr>
        <w:tc>
          <w:tcPr>
            <w:tcW w:w="6317" w:type="dxa"/>
            <w:tcBorders>
              <w:top w:val="nil"/>
              <w:left w:val="single" w:sz="8" w:space="0" w:color="auto"/>
              <w:bottom w:val="single" w:sz="4"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Ejercido</w:t>
            </w:r>
          </w:p>
        </w:tc>
        <w:tc>
          <w:tcPr>
            <w:tcW w:w="242" w:type="dxa"/>
            <w:tcBorders>
              <w:top w:val="nil"/>
              <w:left w:val="nil"/>
              <w:bottom w:val="single" w:sz="4"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6,938,249,194</w:t>
            </w:r>
          </w:p>
        </w:tc>
      </w:tr>
      <w:tr w:rsidR="002240C7" w:rsidRPr="002240C7" w:rsidTr="002240C7">
        <w:trPr>
          <w:trHeight w:val="315"/>
        </w:trPr>
        <w:tc>
          <w:tcPr>
            <w:tcW w:w="6317" w:type="dxa"/>
            <w:tcBorders>
              <w:top w:val="nil"/>
              <w:left w:val="single" w:sz="8" w:space="0" w:color="auto"/>
              <w:bottom w:val="single" w:sz="8" w:space="0" w:color="auto"/>
              <w:right w:val="single" w:sz="4" w:space="0" w:color="auto"/>
            </w:tcBorders>
            <w:shd w:val="clear" w:color="auto" w:fill="auto"/>
            <w:vAlign w:val="center"/>
            <w:hideMark/>
          </w:tcPr>
          <w:p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Pagado</w:t>
            </w:r>
          </w:p>
        </w:tc>
        <w:tc>
          <w:tcPr>
            <w:tcW w:w="242" w:type="dxa"/>
            <w:tcBorders>
              <w:top w:val="nil"/>
              <w:left w:val="nil"/>
              <w:bottom w:val="single" w:sz="8" w:space="0" w:color="auto"/>
              <w:right w:val="nil"/>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8" w:space="0" w:color="auto"/>
              <w:right w:val="single" w:sz="8" w:space="0" w:color="auto"/>
            </w:tcBorders>
            <w:shd w:val="clear" w:color="auto" w:fill="auto"/>
            <w:vAlign w:val="center"/>
            <w:hideMark/>
          </w:tcPr>
          <w:p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6,911,082,789</w:t>
            </w:r>
          </w:p>
        </w:tc>
      </w:tr>
    </w:tbl>
    <w:p w:rsidR="00324C82" w:rsidRPr="004B40C1" w:rsidRDefault="00324C82" w:rsidP="00A836C7">
      <w:pPr>
        <w:jc w:val="both"/>
        <w:rPr>
          <w:rFonts w:ascii="Arial" w:hAnsi="Arial" w:cs="Arial"/>
          <w:sz w:val="24"/>
          <w:szCs w:val="24"/>
        </w:rPr>
      </w:pPr>
    </w:p>
    <w:p w:rsidR="009B7B98" w:rsidRDefault="009B7B98" w:rsidP="009B7B98">
      <w:pPr>
        <w:jc w:val="both"/>
        <w:rPr>
          <w:rFonts w:ascii="Arial" w:hAnsi="Arial" w:cs="Arial"/>
          <w:sz w:val="24"/>
          <w:szCs w:val="24"/>
        </w:rPr>
      </w:pPr>
      <w:r w:rsidRPr="006115D8">
        <w:rPr>
          <w:rFonts w:ascii="Arial" w:hAnsi="Arial" w:cs="Arial"/>
          <w:sz w:val="24"/>
          <w:szCs w:val="24"/>
        </w:rPr>
        <w:t>Para la formulación del Presupuesto de Egresos se consideraron los ingresos propios</w:t>
      </w:r>
      <w:r>
        <w:rPr>
          <w:rFonts w:ascii="Arial" w:hAnsi="Arial" w:cs="Arial"/>
          <w:sz w:val="24"/>
          <w:szCs w:val="24"/>
        </w:rPr>
        <w:t xml:space="preserve"> </w:t>
      </w:r>
      <w:r w:rsidRPr="006115D8">
        <w:rPr>
          <w:rFonts w:ascii="Arial" w:hAnsi="Arial" w:cs="Arial"/>
          <w:sz w:val="24"/>
          <w:szCs w:val="24"/>
        </w:rPr>
        <w:t>a obtener, los recursos federales correspondientes a las participaciones federales y</w:t>
      </w:r>
      <w:r>
        <w:rPr>
          <w:rFonts w:ascii="Arial" w:hAnsi="Arial" w:cs="Arial"/>
          <w:sz w:val="24"/>
          <w:szCs w:val="24"/>
        </w:rPr>
        <w:t xml:space="preserve"> </w:t>
      </w:r>
      <w:r w:rsidRPr="006115D8">
        <w:rPr>
          <w:rFonts w:ascii="Arial" w:hAnsi="Arial" w:cs="Arial"/>
          <w:sz w:val="24"/>
          <w:szCs w:val="24"/>
        </w:rPr>
        <w:t>estatales (Ramo 28), así como las fuentes de recursos que provienen del fondo de</w:t>
      </w:r>
      <w:r>
        <w:rPr>
          <w:rFonts w:ascii="Arial" w:hAnsi="Arial" w:cs="Arial"/>
          <w:sz w:val="24"/>
          <w:szCs w:val="24"/>
        </w:rPr>
        <w:t xml:space="preserve"> </w:t>
      </w:r>
      <w:r w:rsidRPr="006115D8">
        <w:rPr>
          <w:rFonts w:ascii="Arial" w:hAnsi="Arial" w:cs="Arial"/>
          <w:sz w:val="24"/>
          <w:szCs w:val="24"/>
        </w:rPr>
        <w:t>aportaciones federales (Ramo 33).</w:t>
      </w:r>
    </w:p>
    <w:p w:rsidR="00222F79" w:rsidRDefault="00222F79" w:rsidP="00324C82">
      <w:pPr>
        <w:jc w:val="both"/>
        <w:rPr>
          <w:rFonts w:ascii="Arial" w:hAnsi="Arial" w:cs="Arial"/>
          <w:sz w:val="24"/>
          <w:szCs w:val="24"/>
        </w:rPr>
      </w:pPr>
    </w:p>
    <w:p w:rsidR="00324C82" w:rsidRPr="00222F79" w:rsidRDefault="00324C82" w:rsidP="00324C82">
      <w:pPr>
        <w:jc w:val="both"/>
        <w:rPr>
          <w:rFonts w:ascii="Arial" w:hAnsi="Arial" w:cs="Arial"/>
          <w:b/>
          <w:sz w:val="20"/>
          <w:szCs w:val="24"/>
        </w:rPr>
      </w:pPr>
      <w:r w:rsidRPr="00222F79">
        <w:rPr>
          <w:rFonts w:ascii="Arial" w:hAnsi="Arial" w:cs="Arial"/>
          <w:b/>
          <w:sz w:val="20"/>
          <w:szCs w:val="24"/>
        </w:rPr>
        <w:t>Bajo protesta de decir verdad declaramos que las Notas a los Estados Financieros, son razonablemente correctos y son responsabilidad del emisor.</w:t>
      </w:r>
    </w:p>
    <w:p w:rsidR="00324C82" w:rsidRPr="004B40C1" w:rsidRDefault="00324C82" w:rsidP="00324C82">
      <w:pPr>
        <w:jc w:val="both"/>
        <w:rPr>
          <w:rFonts w:ascii="Arial" w:hAnsi="Arial" w:cs="Arial"/>
          <w:sz w:val="24"/>
          <w:szCs w:val="24"/>
        </w:rPr>
      </w:pPr>
    </w:p>
    <w:p w:rsidR="00324C82" w:rsidRPr="004B40C1" w:rsidRDefault="00324C82" w:rsidP="00324C82">
      <w:pPr>
        <w:jc w:val="both"/>
        <w:rPr>
          <w:rFonts w:ascii="Arial" w:hAnsi="Arial" w:cs="Arial"/>
          <w:sz w:val="24"/>
          <w:szCs w:val="24"/>
        </w:rPr>
      </w:pPr>
    </w:p>
    <w:p w:rsidR="00324C82" w:rsidRPr="004B40C1" w:rsidRDefault="00324C82" w:rsidP="00324C82">
      <w:pPr>
        <w:jc w:val="both"/>
        <w:rPr>
          <w:rFonts w:ascii="Arial" w:hAnsi="Arial" w:cs="Arial"/>
          <w:sz w:val="24"/>
          <w:szCs w:val="24"/>
        </w:rPr>
      </w:pPr>
    </w:p>
    <w:p w:rsidR="00324C82" w:rsidRPr="002514E4" w:rsidRDefault="00324C82" w:rsidP="00222F79">
      <w:pPr>
        <w:spacing w:after="0"/>
        <w:jc w:val="center"/>
        <w:rPr>
          <w:rFonts w:ascii="Arial" w:hAnsi="Arial" w:cs="Arial"/>
          <w:szCs w:val="24"/>
        </w:rPr>
      </w:pPr>
      <w:r w:rsidRPr="002514E4">
        <w:rPr>
          <w:rFonts w:ascii="Arial" w:hAnsi="Arial" w:cs="Arial"/>
          <w:szCs w:val="24"/>
        </w:rPr>
        <w:t>______________________________________</w:t>
      </w:r>
    </w:p>
    <w:p w:rsidR="00324C82" w:rsidRPr="002514E4" w:rsidRDefault="00324C82" w:rsidP="00222F79">
      <w:pPr>
        <w:spacing w:after="0"/>
        <w:jc w:val="center"/>
        <w:rPr>
          <w:rFonts w:ascii="Arial" w:hAnsi="Arial" w:cs="Arial"/>
          <w:b/>
          <w:sz w:val="20"/>
          <w:szCs w:val="24"/>
        </w:rPr>
      </w:pPr>
      <w:r w:rsidRPr="002514E4">
        <w:rPr>
          <w:rFonts w:ascii="Arial" w:hAnsi="Arial" w:cs="Arial"/>
          <w:b/>
          <w:sz w:val="20"/>
          <w:szCs w:val="24"/>
        </w:rPr>
        <w:t>LIC. IRLANDA LOERYTHE BAUMBACH VALENCIA</w:t>
      </w:r>
    </w:p>
    <w:p w:rsidR="00324C82" w:rsidRPr="002514E4" w:rsidRDefault="00324C82" w:rsidP="00222F79">
      <w:pPr>
        <w:spacing w:after="0"/>
        <w:jc w:val="center"/>
        <w:rPr>
          <w:rFonts w:ascii="Arial" w:hAnsi="Arial" w:cs="Arial"/>
          <w:b/>
          <w:sz w:val="20"/>
          <w:szCs w:val="24"/>
        </w:rPr>
      </w:pPr>
      <w:r w:rsidRPr="002514E4">
        <w:rPr>
          <w:rFonts w:ascii="Arial" w:hAnsi="Arial" w:cs="Arial"/>
          <w:b/>
          <w:sz w:val="20"/>
          <w:szCs w:val="24"/>
        </w:rPr>
        <w:t>TESORERA MUNICIPAL</w:t>
      </w:r>
    </w:p>
    <w:p w:rsidR="0097115F" w:rsidRPr="004B40C1" w:rsidRDefault="0097115F" w:rsidP="00324C82">
      <w:pPr>
        <w:jc w:val="both"/>
        <w:rPr>
          <w:rFonts w:ascii="Arial" w:hAnsi="Arial" w:cs="Arial"/>
          <w:sz w:val="24"/>
          <w:szCs w:val="24"/>
        </w:rPr>
      </w:pPr>
    </w:p>
    <w:sectPr w:rsidR="0097115F" w:rsidRPr="004B40C1" w:rsidSect="00992AEB">
      <w:footerReference w:type="default" r:id="rId9"/>
      <w:pgSz w:w="12240" w:h="15840" w:code="1"/>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1A3" w:rsidRDefault="00B011A3" w:rsidP="00222F79">
      <w:pPr>
        <w:spacing w:after="0" w:line="240" w:lineRule="auto"/>
      </w:pPr>
      <w:r>
        <w:separator/>
      </w:r>
    </w:p>
  </w:endnote>
  <w:endnote w:type="continuationSeparator" w:id="0">
    <w:p w:rsidR="00B011A3" w:rsidRDefault="00B011A3" w:rsidP="0022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49554"/>
      <w:docPartObj>
        <w:docPartGallery w:val="Page Numbers (Bottom of Page)"/>
        <w:docPartUnique/>
      </w:docPartObj>
    </w:sdtPr>
    <w:sdtContent>
      <w:sdt>
        <w:sdtPr>
          <w:id w:val="860082579"/>
          <w:docPartObj>
            <w:docPartGallery w:val="Page Numbers (Top of Page)"/>
            <w:docPartUnique/>
          </w:docPartObj>
        </w:sdtPr>
        <w:sdtContent>
          <w:p w:rsidR="0014535A" w:rsidRDefault="0014535A">
            <w:pPr>
              <w:pStyle w:val="Piedepgina"/>
              <w:jc w:val="right"/>
            </w:pPr>
            <w:r w:rsidRPr="00222F79">
              <w:rPr>
                <w:bCs/>
                <w:sz w:val="24"/>
                <w:szCs w:val="24"/>
              </w:rPr>
              <w:fldChar w:fldCharType="begin"/>
            </w:r>
            <w:r w:rsidRPr="00222F79">
              <w:rPr>
                <w:bCs/>
              </w:rPr>
              <w:instrText>PAGE</w:instrText>
            </w:r>
            <w:r w:rsidRPr="00222F79">
              <w:rPr>
                <w:bCs/>
                <w:sz w:val="24"/>
                <w:szCs w:val="24"/>
              </w:rPr>
              <w:fldChar w:fldCharType="separate"/>
            </w:r>
            <w:r w:rsidR="00797DBC">
              <w:rPr>
                <w:bCs/>
                <w:noProof/>
              </w:rPr>
              <w:t>10</w:t>
            </w:r>
            <w:r w:rsidRPr="00222F79">
              <w:rPr>
                <w:bCs/>
                <w:sz w:val="24"/>
                <w:szCs w:val="24"/>
              </w:rPr>
              <w:fldChar w:fldCharType="end"/>
            </w:r>
            <w:r w:rsidRPr="00222F79">
              <w:rPr>
                <w:lang w:val="es-ES"/>
              </w:rPr>
              <w:t xml:space="preserve"> de </w:t>
            </w:r>
            <w:r w:rsidRPr="00222F79">
              <w:rPr>
                <w:bCs/>
                <w:sz w:val="24"/>
                <w:szCs w:val="24"/>
              </w:rPr>
              <w:fldChar w:fldCharType="begin"/>
            </w:r>
            <w:r w:rsidRPr="00222F79">
              <w:rPr>
                <w:bCs/>
              </w:rPr>
              <w:instrText>NUMPAGES</w:instrText>
            </w:r>
            <w:r w:rsidRPr="00222F79">
              <w:rPr>
                <w:bCs/>
                <w:sz w:val="24"/>
                <w:szCs w:val="24"/>
              </w:rPr>
              <w:fldChar w:fldCharType="separate"/>
            </w:r>
            <w:r w:rsidR="00797DBC">
              <w:rPr>
                <w:bCs/>
                <w:noProof/>
              </w:rPr>
              <w:t>11</w:t>
            </w:r>
            <w:r w:rsidRPr="00222F79">
              <w:rPr>
                <w:bCs/>
                <w:sz w:val="24"/>
                <w:szCs w:val="24"/>
              </w:rPr>
              <w:fldChar w:fldCharType="end"/>
            </w:r>
          </w:p>
        </w:sdtContent>
      </w:sdt>
    </w:sdtContent>
  </w:sdt>
  <w:p w:rsidR="0014535A" w:rsidRDefault="0014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1A3" w:rsidRDefault="00B011A3" w:rsidP="00222F79">
      <w:pPr>
        <w:spacing w:after="0" w:line="240" w:lineRule="auto"/>
      </w:pPr>
      <w:r>
        <w:separator/>
      </w:r>
    </w:p>
  </w:footnote>
  <w:footnote w:type="continuationSeparator" w:id="0">
    <w:p w:rsidR="00B011A3" w:rsidRDefault="00B011A3" w:rsidP="00222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08D6"/>
    <w:multiLevelType w:val="hybridMultilevel"/>
    <w:tmpl w:val="BCA49130"/>
    <w:lvl w:ilvl="0" w:tplc="36EEBB2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9579E0"/>
    <w:multiLevelType w:val="hybridMultilevel"/>
    <w:tmpl w:val="25580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CF3D36"/>
    <w:multiLevelType w:val="hybridMultilevel"/>
    <w:tmpl w:val="FBF8F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5F"/>
    <w:rsid w:val="00041625"/>
    <w:rsid w:val="0007481F"/>
    <w:rsid w:val="000F754F"/>
    <w:rsid w:val="0014535A"/>
    <w:rsid w:val="001E1295"/>
    <w:rsid w:val="00222F79"/>
    <w:rsid w:val="002240C7"/>
    <w:rsid w:val="002427E2"/>
    <w:rsid w:val="002514E4"/>
    <w:rsid w:val="002A1486"/>
    <w:rsid w:val="00324C82"/>
    <w:rsid w:val="004971EB"/>
    <w:rsid w:val="004B40C1"/>
    <w:rsid w:val="004D5160"/>
    <w:rsid w:val="006177FB"/>
    <w:rsid w:val="00797DBC"/>
    <w:rsid w:val="00822175"/>
    <w:rsid w:val="00921E9A"/>
    <w:rsid w:val="009449F7"/>
    <w:rsid w:val="0097115F"/>
    <w:rsid w:val="00992AEB"/>
    <w:rsid w:val="009B7B98"/>
    <w:rsid w:val="009C4F86"/>
    <w:rsid w:val="00A836C7"/>
    <w:rsid w:val="00B011A3"/>
    <w:rsid w:val="00BB424A"/>
    <w:rsid w:val="00BC443E"/>
    <w:rsid w:val="00D27E2A"/>
    <w:rsid w:val="00E4316B"/>
    <w:rsid w:val="00F5155D"/>
    <w:rsid w:val="00F76C33"/>
    <w:rsid w:val="00FA5D55"/>
    <w:rsid w:val="00FB7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15F"/>
    <w:pPr>
      <w:ind w:left="720"/>
      <w:contextualSpacing/>
    </w:pPr>
  </w:style>
  <w:style w:type="paragraph" w:styleId="Textodeglobo">
    <w:name w:val="Balloon Text"/>
    <w:basedOn w:val="Normal"/>
    <w:link w:val="TextodegloboCar"/>
    <w:uiPriority w:val="99"/>
    <w:semiHidden/>
    <w:unhideWhenUsed/>
    <w:rsid w:val="00971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15F"/>
    <w:rPr>
      <w:rFonts w:ascii="Tahoma" w:hAnsi="Tahoma" w:cs="Tahoma"/>
      <w:sz w:val="16"/>
      <w:szCs w:val="16"/>
    </w:rPr>
  </w:style>
  <w:style w:type="table" w:styleId="Tablaconcuadrcula">
    <w:name w:val="Table Grid"/>
    <w:basedOn w:val="Tablanormal"/>
    <w:uiPriority w:val="59"/>
    <w:rsid w:val="0032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2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F79"/>
  </w:style>
  <w:style w:type="paragraph" w:styleId="Piedepgina">
    <w:name w:val="footer"/>
    <w:basedOn w:val="Normal"/>
    <w:link w:val="PiedepginaCar"/>
    <w:uiPriority w:val="99"/>
    <w:unhideWhenUsed/>
    <w:rsid w:val="0022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15F"/>
    <w:pPr>
      <w:ind w:left="720"/>
      <w:contextualSpacing/>
    </w:pPr>
  </w:style>
  <w:style w:type="paragraph" w:styleId="Textodeglobo">
    <w:name w:val="Balloon Text"/>
    <w:basedOn w:val="Normal"/>
    <w:link w:val="TextodegloboCar"/>
    <w:uiPriority w:val="99"/>
    <w:semiHidden/>
    <w:unhideWhenUsed/>
    <w:rsid w:val="00971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15F"/>
    <w:rPr>
      <w:rFonts w:ascii="Tahoma" w:hAnsi="Tahoma" w:cs="Tahoma"/>
      <w:sz w:val="16"/>
      <w:szCs w:val="16"/>
    </w:rPr>
  </w:style>
  <w:style w:type="table" w:styleId="Tablaconcuadrcula">
    <w:name w:val="Table Grid"/>
    <w:basedOn w:val="Tablanormal"/>
    <w:uiPriority w:val="59"/>
    <w:rsid w:val="0032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2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F79"/>
  </w:style>
  <w:style w:type="paragraph" w:styleId="Piedepgina">
    <w:name w:val="footer"/>
    <w:basedOn w:val="Normal"/>
    <w:link w:val="PiedepginaCar"/>
    <w:uiPriority w:val="99"/>
    <w:unhideWhenUsed/>
    <w:rsid w:val="0022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1338">
      <w:bodyDiv w:val="1"/>
      <w:marLeft w:val="0"/>
      <w:marRight w:val="0"/>
      <w:marTop w:val="0"/>
      <w:marBottom w:val="0"/>
      <w:divBdr>
        <w:top w:val="none" w:sz="0" w:space="0" w:color="auto"/>
        <w:left w:val="none" w:sz="0" w:space="0" w:color="auto"/>
        <w:bottom w:val="none" w:sz="0" w:space="0" w:color="auto"/>
        <w:right w:val="none" w:sz="0" w:space="0" w:color="auto"/>
      </w:divBdr>
    </w:div>
    <w:div w:id="413473247">
      <w:bodyDiv w:val="1"/>
      <w:marLeft w:val="0"/>
      <w:marRight w:val="0"/>
      <w:marTop w:val="0"/>
      <w:marBottom w:val="0"/>
      <w:divBdr>
        <w:top w:val="none" w:sz="0" w:space="0" w:color="auto"/>
        <w:left w:val="none" w:sz="0" w:space="0" w:color="auto"/>
        <w:bottom w:val="none" w:sz="0" w:space="0" w:color="auto"/>
        <w:right w:val="none" w:sz="0" w:space="0" w:color="auto"/>
      </w:divBdr>
    </w:div>
    <w:div w:id="559289395">
      <w:bodyDiv w:val="1"/>
      <w:marLeft w:val="0"/>
      <w:marRight w:val="0"/>
      <w:marTop w:val="0"/>
      <w:marBottom w:val="0"/>
      <w:divBdr>
        <w:top w:val="none" w:sz="0" w:space="0" w:color="auto"/>
        <w:left w:val="none" w:sz="0" w:space="0" w:color="auto"/>
        <w:bottom w:val="none" w:sz="0" w:space="0" w:color="auto"/>
        <w:right w:val="none" w:sz="0" w:space="0" w:color="auto"/>
      </w:divBdr>
    </w:div>
    <w:div w:id="705376547">
      <w:bodyDiv w:val="1"/>
      <w:marLeft w:val="0"/>
      <w:marRight w:val="0"/>
      <w:marTop w:val="0"/>
      <w:marBottom w:val="0"/>
      <w:divBdr>
        <w:top w:val="none" w:sz="0" w:space="0" w:color="auto"/>
        <w:left w:val="none" w:sz="0" w:space="0" w:color="auto"/>
        <w:bottom w:val="none" w:sz="0" w:space="0" w:color="auto"/>
        <w:right w:val="none" w:sz="0" w:space="0" w:color="auto"/>
      </w:divBdr>
    </w:div>
    <w:div w:id="925190463">
      <w:bodyDiv w:val="1"/>
      <w:marLeft w:val="0"/>
      <w:marRight w:val="0"/>
      <w:marTop w:val="0"/>
      <w:marBottom w:val="0"/>
      <w:divBdr>
        <w:top w:val="none" w:sz="0" w:space="0" w:color="auto"/>
        <w:left w:val="none" w:sz="0" w:space="0" w:color="auto"/>
        <w:bottom w:val="none" w:sz="0" w:space="0" w:color="auto"/>
        <w:right w:val="none" w:sz="0" w:space="0" w:color="auto"/>
      </w:divBdr>
    </w:div>
    <w:div w:id="940604225">
      <w:bodyDiv w:val="1"/>
      <w:marLeft w:val="0"/>
      <w:marRight w:val="0"/>
      <w:marTop w:val="0"/>
      <w:marBottom w:val="0"/>
      <w:divBdr>
        <w:top w:val="none" w:sz="0" w:space="0" w:color="auto"/>
        <w:left w:val="none" w:sz="0" w:space="0" w:color="auto"/>
        <w:bottom w:val="none" w:sz="0" w:space="0" w:color="auto"/>
        <w:right w:val="none" w:sz="0" w:space="0" w:color="auto"/>
      </w:divBdr>
    </w:div>
    <w:div w:id="1078095071">
      <w:bodyDiv w:val="1"/>
      <w:marLeft w:val="0"/>
      <w:marRight w:val="0"/>
      <w:marTop w:val="0"/>
      <w:marBottom w:val="0"/>
      <w:divBdr>
        <w:top w:val="none" w:sz="0" w:space="0" w:color="auto"/>
        <w:left w:val="none" w:sz="0" w:space="0" w:color="auto"/>
        <w:bottom w:val="none" w:sz="0" w:space="0" w:color="auto"/>
        <w:right w:val="none" w:sz="0" w:space="0" w:color="auto"/>
      </w:divBdr>
    </w:div>
    <w:div w:id="1276719804">
      <w:bodyDiv w:val="1"/>
      <w:marLeft w:val="0"/>
      <w:marRight w:val="0"/>
      <w:marTop w:val="0"/>
      <w:marBottom w:val="0"/>
      <w:divBdr>
        <w:top w:val="none" w:sz="0" w:space="0" w:color="auto"/>
        <w:left w:val="none" w:sz="0" w:space="0" w:color="auto"/>
        <w:bottom w:val="none" w:sz="0" w:space="0" w:color="auto"/>
        <w:right w:val="none" w:sz="0" w:space="0" w:color="auto"/>
      </w:divBdr>
    </w:div>
    <w:div w:id="1524515046">
      <w:bodyDiv w:val="1"/>
      <w:marLeft w:val="0"/>
      <w:marRight w:val="0"/>
      <w:marTop w:val="0"/>
      <w:marBottom w:val="0"/>
      <w:divBdr>
        <w:top w:val="none" w:sz="0" w:space="0" w:color="auto"/>
        <w:left w:val="none" w:sz="0" w:space="0" w:color="auto"/>
        <w:bottom w:val="none" w:sz="0" w:space="0" w:color="auto"/>
        <w:right w:val="none" w:sz="0" w:space="0" w:color="auto"/>
      </w:divBdr>
    </w:div>
    <w:div w:id="1639647233">
      <w:bodyDiv w:val="1"/>
      <w:marLeft w:val="0"/>
      <w:marRight w:val="0"/>
      <w:marTop w:val="0"/>
      <w:marBottom w:val="0"/>
      <w:divBdr>
        <w:top w:val="none" w:sz="0" w:space="0" w:color="auto"/>
        <w:left w:val="none" w:sz="0" w:space="0" w:color="auto"/>
        <w:bottom w:val="none" w:sz="0" w:space="0" w:color="auto"/>
        <w:right w:val="none" w:sz="0" w:space="0" w:color="auto"/>
      </w:divBdr>
    </w:div>
    <w:div w:id="1802261554">
      <w:bodyDiv w:val="1"/>
      <w:marLeft w:val="0"/>
      <w:marRight w:val="0"/>
      <w:marTop w:val="0"/>
      <w:marBottom w:val="0"/>
      <w:divBdr>
        <w:top w:val="none" w:sz="0" w:space="0" w:color="auto"/>
        <w:left w:val="none" w:sz="0" w:space="0" w:color="auto"/>
        <w:bottom w:val="none" w:sz="0" w:space="0" w:color="auto"/>
        <w:right w:val="none" w:sz="0" w:space="0" w:color="auto"/>
      </w:divBdr>
    </w:div>
    <w:div w:id="1805150768">
      <w:bodyDiv w:val="1"/>
      <w:marLeft w:val="0"/>
      <w:marRight w:val="0"/>
      <w:marTop w:val="0"/>
      <w:marBottom w:val="0"/>
      <w:divBdr>
        <w:top w:val="none" w:sz="0" w:space="0" w:color="auto"/>
        <w:left w:val="none" w:sz="0" w:space="0" w:color="auto"/>
        <w:bottom w:val="none" w:sz="0" w:space="0" w:color="auto"/>
        <w:right w:val="none" w:sz="0" w:space="0" w:color="auto"/>
      </w:divBdr>
    </w:div>
    <w:div w:id="1816802419">
      <w:bodyDiv w:val="1"/>
      <w:marLeft w:val="0"/>
      <w:marRight w:val="0"/>
      <w:marTop w:val="0"/>
      <w:marBottom w:val="0"/>
      <w:divBdr>
        <w:top w:val="none" w:sz="0" w:space="0" w:color="auto"/>
        <w:left w:val="none" w:sz="0" w:space="0" w:color="auto"/>
        <w:bottom w:val="none" w:sz="0" w:space="0" w:color="auto"/>
        <w:right w:val="none" w:sz="0" w:space="0" w:color="auto"/>
      </w:divBdr>
    </w:div>
    <w:div w:id="18453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Pages>
  <Words>2974</Words>
  <Characters>16358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Rameño Martha Elena</dc:creator>
  <cp:lastModifiedBy>Martínez Rameño Martha Elena</cp:lastModifiedBy>
  <cp:revision>7</cp:revision>
  <cp:lastPrinted>2025-10-21T20:56:00Z</cp:lastPrinted>
  <dcterms:created xsi:type="dcterms:W3CDTF">2025-07-17T22:36:00Z</dcterms:created>
  <dcterms:modified xsi:type="dcterms:W3CDTF">2025-10-21T20:57:00Z</dcterms:modified>
</cp:coreProperties>
</file>