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FA2397" w:rsidRPr="007E677C" w:rsidRDefault="00CF565F" w:rsidP="007E677C">
            <w:pPr>
              <w:pStyle w:val="Sinespaciado"/>
              <w:jc w:val="center"/>
              <w:rPr>
                <w:b/>
                <w:sz w:val="32"/>
              </w:rPr>
            </w:pPr>
            <w:bookmarkStart w:id="0" w:name="ente"/>
            <w:bookmarkStart w:id="1" w:name="_GoBack"/>
            <w:bookmarkEnd w:id="0"/>
            <w:bookmarkEnd w:id="1"/>
            <w:r w:rsidRPr="007E677C">
              <w:rPr>
                <w:b/>
                <w:sz w:val="32"/>
              </w:rPr>
              <w:t>MUNICIPIO GUADALAJARA</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CF565F"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30 DE JUNIO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CF565F" w:rsidRDefault="007E677C" w:rsidP="00CF565F">
            <w:pPr>
              <w:autoSpaceDE w:val="0"/>
              <w:autoSpaceDN w:val="0"/>
              <w:adjustRightInd w:val="0"/>
              <w:jc w:val="center"/>
              <w:rPr>
                <w:rFonts w:cs="Calibri"/>
                <w:noProof/>
                <w:lang w:eastAsia="es-MX"/>
              </w:rPr>
            </w:pPr>
            <w:bookmarkStart w:id="3" w:name="cuerpo"/>
            <w:bookmarkEnd w:id="3"/>
            <w:r>
              <w:rPr>
                <w:rFonts w:ascii="Arial" w:hAnsi="Arial" w:cs="Arial"/>
                <w:noProof/>
                <w:sz w:val="23"/>
                <w:szCs w:val="23"/>
                <w:lang w:eastAsia="es-MX"/>
              </w:rPr>
              <w:drawing>
                <wp:inline distT="0" distB="0" distL="0" distR="0" wp14:anchorId="487B04C1" wp14:editId="32722C51">
                  <wp:extent cx="870225" cy="1319841"/>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045" cy="1319568"/>
                          </a:xfrm>
                          <a:prstGeom prst="rect">
                            <a:avLst/>
                          </a:prstGeom>
                          <a:noFill/>
                          <a:ln>
                            <a:noFill/>
                          </a:ln>
                        </pic:spPr>
                      </pic:pic>
                    </a:graphicData>
                  </a:graphic>
                </wp:inline>
              </w:drawing>
            </w:r>
          </w:p>
          <w:p w:rsidR="00CF565F" w:rsidRDefault="00CF565F" w:rsidP="00CF565F">
            <w:pPr>
              <w:autoSpaceDE w:val="0"/>
              <w:autoSpaceDN w:val="0"/>
              <w:adjustRightInd w:val="0"/>
              <w:spacing w:after="0" w:line="240" w:lineRule="auto"/>
              <w:rPr>
                <w:rFonts w:cs="Calibri"/>
                <w:noProof/>
                <w:lang w:eastAsia="es-MX"/>
              </w:rPr>
            </w:pPr>
          </w:p>
          <w:p w:rsidR="00CF565F" w:rsidRDefault="00CF565F" w:rsidP="00CF565F">
            <w:pPr>
              <w:autoSpaceDE w:val="0"/>
              <w:autoSpaceDN w:val="0"/>
              <w:adjustRightInd w:val="0"/>
              <w:ind w:left="1080"/>
              <w:rPr>
                <w:rFonts w:ascii="Arial" w:hAnsi="Arial" w:cs="Arial"/>
                <w:lang w:eastAsia="es-MX"/>
              </w:rPr>
            </w:pPr>
          </w:p>
          <w:p w:rsidR="00CF565F" w:rsidRDefault="00CF565F" w:rsidP="00CF565F">
            <w:pPr>
              <w:autoSpaceDE w:val="0"/>
              <w:autoSpaceDN w:val="0"/>
              <w:adjustRightInd w:val="0"/>
              <w:ind w:left="1146" w:hanging="720"/>
              <w:rPr>
                <w:rFonts w:ascii="Arial" w:hAnsi="Arial" w:cs="Arial"/>
                <w:b/>
                <w:bCs/>
                <w:lang w:eastAsia="es-MX"/>
              </w:rPr>
            </w:pPr>
            <w:r>
              <w:rPr>
                <w:rFonts w:ascii="Arial" w:hAnsi="Arial" w:cs="Arial"/>
                <w:b/>
                <w:bCs/>
                <w:lang w:eastAsia="es-MX"/>
              </w:rPr>
              <w:t>I)</w:t>
            </w:r>
            <w:r>
              <w:rPr>
                <w:rFonts w:ascii="Arial" w:hAnsi="Arial" w:cs="Arial"/>
                <w:b/>
                <w:bCs/>
                <w:lang w:eastAsia="es-MX"/>
              </w:rPr>
              <w:tab/>
              <w:t>NOTAS AL ESTADO DE ACTIVIDADES</w:t>
            </w:r>
          </w:p>
          <w:p w:rsidR="00CF565F" w:rsidRDefault="00CF565F" w:rsidP="00CF565F">
            <w:pPr>
              <w:autoSpaceDE w:val="0"/>
              <w:autoSpaceDN w:val="0"/>
              <w:adjustRightInd w:val="0"/>
              <w:ind w:left="360"/>
              <w:rPr>
                <w:rFonts w:ascii="Arial" w:hAnsi="Arial" w:cs="Arial"/>
                <w:lang w:eastAsia="es-MX"/>
              </w:rPr>
            </w:pPr>
            <w:r>
              <w:rPr>
                <w:rFonts w:ascii="Arial" w:hAnsi="Arial" w:cs="Arial"/>
                <w:lang w:eastAsia="es-MX"/>
              </w:rPr>
              <w:t xml:space="preserve">En virtud de las Disposición de la Auditoria Superior del Estado de Jalisco los comparativos se presentan vs con las cifras de la balanza general  al 31 de Diciembre del ejercicio inmediato anterior.  </w:t>
            </w:r>
          </w:p>
          <w:p w:rsidR="00CF565F" w:rsidRDefault="00CF565F" w:rsidP="00CF565F">
            <w:pPr>
              <w:autoSpaceDE w:val="0"/>
              <w:autoSpaceDN w:val="0"/>
              <w:adjustRightInd w:val="0"/>
              <w:ind w:left="1080"/>
              <w:rPr>
                <w:rFonts w:ascii="Arial" w:hAnsi="Arial" w:cs="Arial"/>
                <w:b/>
                <w:bCs/>
                <w:lang w:eastAsia="es-MX"/>
              </w:rPr>
            </w:pPr>
          </w:p>
          <w:p w:rsidR="00CF565F" w:rsidRDefault="00CF565F" w:rsidP="00CF565F">
            <w:pPr>
              <w:autoSpaceDE w:val="0"/>
              <w:autoSpaceDN w:val="0"/>
              <w:adjustRightInd w:val="0"/>
              <w:ind w:left="1080" w:hanging="720"/>
              <w:rPr>
                <w:rFonts w:ascii="Arial" w:hAnsi="Arial" w:cs="Arial"/>
                <w:b/>
                <w:bCs/>
                <w:lang w:eastAsia="es-MX"/>
              </w:rPr>
            </w:pPr>
            <w:r>
              <w:rPr>
                <w:rFonts w:ascii="Arial" w:hAnsi="Arial" w:cs="Arial"/>
                <w:b/>
                <w:bCs/>
                <w:lang w:eastAsia="es-MX"/>
              </w:rPr>
              <w:t>I)</w:t>
            </w:r>
            <w:r>
              <w:rPr>
                <w:rFonts w:ascii="Arial" w:hAnsi="Arial" w:cs="Arial"/>
                <w:b/>
                <w:bCs/>
                <w:lang w:eastAsia="es-MX"/>
              </w:rPr>
              <w:tab/>
              <w:t>Estado de Actividades.</w:t>
            </w:r>
          </w:p>
          <w:p w:rsidR="00CF565F" w:rsidRDefault="00CF565F" w:rsidP="00CF565F">
            <w:pPr>
              <w:autoSpaceDE w:val="0"/>
              <w:autoSpaceDN w:val="0"/>
              <w:adjustRightInd w:val="0"/>
              <w:rPr>
                <w:rFonts w:ascii="Arial" w:hAnsi="Arial" w:cs="Arial"/>
                <w:b/>
                <w:bCs/>
                <w:lang w:eastAsia="es-MX"/>
              </w:rPr>
            </w:pPr>
            <w:r>
              <w:rPr>
                <w:rFonts w:ascii="Arial" w:hAnsi="Arial" w:cs="Arial"/>
                <w:b/>
                <w:bCs/>
                <w:lang w:eastAsia="es-MX"/>
              </w:rPr>
              <w:t>Intereses, comisiones y otros gastos de la Deuda.</w:t>
            </w:r>
          </w:p>
          <w:p w:rsidR="00CF565F" w:rsidRDefault="00CF565F" w:rsidP="00CF565F">
            <w:pPr>
              <w:autoSpaceDE w:val="0"/>
              <w:autoSpaceDN w:val="0"/>
              <w:adjustRightInd w:val="0"/>
              <w:rPr>
                <w:rFonts w:ascii="Arial" w:hAnsi="Arial" w:cs="Arial"/>
                <w:lang w:eastAsia="es-MX"/>
              </w:rPr>
            </w:pPr>
            <w:r>
              <w:rPr>
                <w:rFonts w:ascii="Arial" w:hAnsi="Arial" w:cs="Arial"/>
                <w:lang w:eastAsia="es-MX"/>
              </w:rPr>
              <w:t xml:space="preserve">Los intereses pagados en el ejercicio por concepto de intereses de la deuda asciende a </w:t>
            </w:r>
          </w:p>
          <w:p w:rsidR="00CF565F" w:rsidRDefault="00CF565F" w:rsidP="00CF565F">
            <w:pPr>
              <w:autoSpaceDE w:val="0"/>
              <w:autoSpaceDN w:val="0"/>
              <w:adjustRightInd w:val="0"/>
              <w:rPr>
                <w:rFonts w:ascii="Arial" w:hAnsi="Arial" w:cs="Arial"/>
                <w:b/>
                <w:bCs/>
                <w:lang w:eastAsia="es-MX"/>
              </w:rPr>
            </w:pPr>
            <w:r>
              <w:rPr>
                <w:rFonts w:ascii="Arial" w:hAnsi="Arial" w:cs="Arial"/>
                <w:b/>
                <w:bCs/>
                <w:lang w:eastAsia="es-MX"/>
              </w:rPr>
              <w:t>$ 72, 260, 090.</w:t>
            </w:r>
          </w:p>
          <w:p w:rsidR="00CF565F" w:rsidRDefault="00CF565F" w:rsidP="00CF565F">
            <w:pPr>
              <w:autoSpaceDE w:val="0"/>
              <w:autoSpaceDN w:val="0"/>
              <w:adjustRightInd w:val="0"/>
              <w:rPr>
                <w:rFonts w:ascii="Arial" w:hAnsi="Arial" w:cs="Arial"/>
                <w:b/>
                <w:bCs/>
                <w:lang w:eastAsia="es-MX"/>
              </w:rPr>
            </w:pPr>
            <w:r>
              <w:rPr>
                <w:rFonts w:ascii="Arial" w:hAnsi="Arial" w:cs="Arial"/>
                <w:b/>
                <w:bCs/>
                <w:lang w:eastAsia="es-MX"/>
              </w:rPr>
              <w:t>Ingresos Excedentes:</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7E677C" w:rsidRDefault="007E677C" w:rsidP="00CF565F">
            <w:pPr>
              <w:autoSpaceDE w:val="0"/>
              <w:autoSpaceDN w:val="0"/>
              <w:adjustRightInd w:val="0"/>
              <w:jc w:val="both"/>
              <w:rPr>
                <w:rFonts w:ascii="Arial" w:hAnsi="Arial" w:cs="Arial"/>
                <w:lang w:eastAsia="es-MX"/>
              </w:rPr>
            </w:pPr>
          </w:p>
          <w:p w:rsidR="007E677C" w:rsidRDefault="007E677C"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rPr>
                <w:rFonts w:ascii="Arial" w:hAnsi="Arial" w:cs="Arial"/>
                <w:lang w:eastAsia="es-MX"/>
              </w:rPr>
            </w:pPr>
            <w:r>
              <w:rPr>
                <w:rFonts w:ascii="Arial" w:hAnsi="Arial" w:cs="Arial"/>
                <w:lang w:eastAsia="es-MX"/>
              </w:rPr>
              <w:lastRenderedPageBreak/>
              <w:t>Dichos excedentes podrán destinarse a reducir el balance presupuestario de recursos disponibles negativo de ejercicios anteriores, a partir de la entrada en vigor de esta Ley y hasta el ejercicios fiscal 2023.</w:t>
            </w:r>
          </w:p>
          <w:p w:rsidR="00CF565F" w:rsidRDefault="00CF565F" w:rsidP="00CF565F">
            <w:pPr>
              <w:autoSpaceDE w:val="0"/>
              <w:autoSpaceDN w:val="0"/>
              <w:adjustRightInd w:val="0"/>
              <w:rPr>
                <w:rFonts w:ascii="Arial" w:hAnsi="Arial" w:cs="Arial"/>
                <w:lang w:eastAsia="es-MX"/>
              </w:rPr>
            </w:pPr>
            <w:r>
              <w:rPr>
                <w:rFonts w:ascii="Arial" w:hAnsi="Arial" w:cs="Arial"/>
                <w:lang w:eastAsia="es-MX"/>
              </w:rPr>
              <w:t>En caso de subsistir remanente aplicara:</w:t>
            </w:r>
          </w:p>
          <w:p w:rsidR="00CF565F" w:rsidRDefault="00CF565F" w:rsidP="00CF565F">
            <w:pPr>
              <w:autoSpaceDE w:val="0"/>
              <w:autoSpaceDN w:val="0"/>
              <w:adjustRightInd w:val="0"/>
              <w:ind w:left="720" w:hanging="360"/>
              <w:rPr>
                <w:rFonts w:ascii="Arial" w:hAnsi="Arial" w:cs="Arial"/>
                <w:lang w:eastAsia="es-MX"/>
              </w:rPr>
            </w:pPr>
            <w:r>
              <w:rPr>
                <w:rFonts w:ascii="Arial" w:hAnsi="Arial" w:cs="Arial"/>
                <w:lang w:eastAsia="es-MX"/>
              </w:rPr>
              <w:t>a)</w:t>
            </w:r>
            <w:r>
              <w:rPr>
                <w:rFonts w:ascii="Arial" w:hAnsi="Arial" w:cs="Arial"/>
                <w:lang w:eastAsia="es-MX"/>
              </w:rPr>
              <w:tab/>
              <w:t>Inversión pública productiva, a través de un fondo que se constituye para tal efecto, con el fin de que los recursos correspondientes se ejerzan a más tardar en el ejercicio inmediato siguientes, y</w:t>
            </w:r>
          </w:p>
          <w:p w:rsidR="00CF565F" w:rsidRDefault="00CF565F" w:rsidP="00CF565F">
            <w:pPr>
              <w:autoSpaceDE w:val="0"/>
              <w:autoSpaceDN w:val="0"/>
              <w:adjustRightInd w:val="0"/>
              <w:ind w:left="720" w:hanging="360"/>
              <w:rPr>
                <w:rFonts w:ascii="Arial" w:hAnsi="Arial" w:cs="Arial"/>
                <w:lang w:eastAsia="es-MX"/>
              </w:rPr>
            </w:pPr>
            <w:r>
              <w:rPr>
                <w:rFonts w:ascii="Arial" w:hAnsi="Arial" w:cs="Arial"/>
                <w:lang w:eastAsia="es-MX"/>
              </w:rPr>
              <w:t>b)</w:t>
            </w:r>
            <w:r>
              <w:rPr>
                <w:rFonts w:ascii="Arial" w:hAnsi="Arial" w:cs="Arial"/>
                <w:lang w:eastAsia="es-MX"/>
              </w:rPr>
              <w:tab/>
              <w:t>La Creación de un fondo cuyo objetivo sea compensar la caída de ingresos de libre disposición de ejercicios subsecuentes.</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Los ingresos excedentes derivados de ingresos de libre disposición podrán destinarse a los rubros  mencionados en el presente artículo, sin limitación alguna, siempre y cuando en ente público se clasifique en un nivel de endeudamiento sostenible de acuerdo al Sistemas Alertas.</w:t>
            </w: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p>
          <w:p w:rsidR="00CF565F" w:rsidRDefault="00CF565F" w:rsidP="00CF565F">
            <w:pPr>
              <w:autoSpaceDE w:val="0"/>
              <w:autoSpaceDN w:val="0"/>
              <w:adjustRightInd w:val="0"/>
              <w:ind w:left="1146" w:hanging="720"/>
              <w:jc w:val="both"/>
              <w:rPr>
                <w:rFonts w:ascii="Arial" w:hAnsi="Arial" w:cs="Arial"/>
                <w:lang w:eastAsia="es-MX"/>
              </w:rPr>
            </w:pPr>
            <w:r>
              <w:rPr>
                <w:rFonts w:ascii="Arial" w:hAnsi="Arial" w:cs="Arial"/>
                <w:b/>
                <w:bCs/>
                <w:lang w:eastAsia="es-MX"/>
              </w:rPr>
              <w:t>II)</w:t>
            </w:r>
            <w:r>
              <w:rPr>
                <w:rFonts w:ascii="Arial" w:hAnsi="Arial" w:cs="Arial"/>
                <w:b/>
                <w:bCs/>
                <w:lang w:eastAsia="es-MX"/>
              </w:rPr>
              <w:tab/>
              <w:t>NOTAS AL ESTADO DE SITUACION FINANCIERA</w:t>
            </w: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ACTIVO</w:t>
            </w:r>
          </w:p>
          <w:p w:rsidR="00CF565F" w:rsidRDefault="00CF565F" w:rsidP="00CF565F">
            <w:pPr>
              <w:autoSpaceDE w:val="0"/>
              <w:autoSpaceDN w:val="0"/>
              <w:adjustRightInd w:val="0"/>
              <w:jc w:val="both"/>
              <w:rPr>
                <w:rFonts w:ascii="Arial" w:hAnsi="Arial" w:cs="Arial"/>
                <w:b/>
                <w:bCs/>
                <w:i/>
                <w:iCs/>
                <w:lang w:eastAsia="es-MX"/>
              </w:rPr>
            </w:pPr>
            <w:r>
              <w:rPr>
                <w:rFonts w:ascii="Arial" w:hAnsi="Arial" w:cs="Arial"/>
                <w:b/>
                <w:bCs/>
                <w:i/>
                <w:iCs/>
                <w:lang w:eastAsia="es-MX"/>
              </w:rPr>
              <w:t>Efectivo y Equivalente:</w:t>
            </w:r>
          </w:p>
          <w:p w:rsidR="00CF565F" w:rsidRDefault="00CF565F" w:rsidP="00CF565F">
            <w:pPr>
              <w:autoSpaceDE w:val="0"/>
              <w:autoSpaceDN w:val="0"/>
              <w:adjustRightInd w:val="0"/>
              <w:jc w:val="both"/>
              <w:rPr>
                <w:rFonts w:ascii="Arial" w:hAnsi="Arial" w:cs="Arial"/>
                <w:i/>
                <w:iCs/>
                <w:lang w:eastAsia="es-MX"/>
              </w:rPr>
            </w:pPr>
            <w:r>
              <w:rPr>
                <w:rFonts w:ascii="Arial" w:hAnsi="Arial" w:cs="Arial"/>
                <w:i/>
                <w:iCs/>
                <w:lang w:eastAsia="es-MX"/>
              </w:rPr>
              <w:t>Su importe se analiza a continuación con cifras preliminares:</w:t>
            </w:r>
          </w:p>
          <w:tbl>
            <w:tblPr>
              <w:tblW w:w="0" w:type="auto"/>
              <w:tblCellMar>
                <w:left w:w="70" w:type="dxa"/>
                <w:right w:w="70" w:type="dxa"/>
              </w:tblCellMar>
              <w:tblLook w:val="0000" w:firstRow="0" w:lastRow="0" w:firstColumn="0" w:lastColumn="0" w:noHBand="0" w:noVBand="0"/>
            </w:tblPr>
            <w:tblGrid>
              <w:gridCol w:w="5845"/>
              <w:gridCol w:w="2534"/>
            </w:tblGrid>
            <w:tr w:rsidR="00CF565F">
              <w:tc>
                <w:tcPr>
                  <w:tcW w:w="5845"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2534"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517,509 </w:t>
                  </w:r>
                </w:p>
              </w:tc>
            </w:tr>
            <w:tr w:rsidR="00CF565F">
              <w:tc>
                <w:tcPr>
                  <w:tcW w:w="584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253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290,484,581 </w:t>
                  </w:r>
                </w:p>
              </w:tc>
            </w:tr>
            <w:tr w:rsidR="00CF565F">
              <w:tc>
                <w:tcPr>
                  <w:tcW w:w="584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Meses)</w:t>
                  </w:r>
                </w:p>
              </w:tc>
              <w:tc>
                <w:tcPr>
                  <w:tcW w:w="253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742,622,824 </w:t>
                  </w:r>
                </w:p>
              </w:tc>
            </w:tr>
            <w:tr w:rsidR="00CF565F">
              <w:tc>
                <w:tcPr>
                  <w:tcW w:w="584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Afectación especifica</w:t>
                  </w:r>
                </w:p>
              </w:tc>
              <w:tc>
                <w:tcPr>
                  <w:tcW w:w="253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137,939</w:t>
                  </w:r>
                </w:p>
              </w:tc>
            </w:tr>
            <w:tr w:rsidR="00CF565F">
              <w:tc>
                <w:tcPr>
                  <w:tcW w:w="584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en Fondos de Terceros en Garantía y/o Administración</w:t>
                  </w:r>
                </w:p>
              </w:tc>
              <w:tc>
                <w:tcPr>
                  <w:tcW w:w="253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15,242,110 </w:t>
                  </w:r>
                </w:p>
              </w:tc>
            </w:tr>
            <w:tr w:rsidR="00CF565F">
              <w:tc>
                <w:tcPr>
                  <w:tcW w:w="584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253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490,079</w:t>
                  </w:r>
                </w:p>
              </w:tc>
            </w:tr>
            <w:tr w:rsidR="00CF565F">
              <w:tc>
                <w:tcPr>
                  <w:tcW w:w="5845"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efectivo y equivalentes</w:t>
                  </w:r>
                </w:p>
              </w:tc>
              <w:tc>
                <w:tcPr>
                  <w:tcW w:w="2534"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1,049,495,042 </w:t>
                  </w: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 xml:space="preserve">Derechos a Recibir Efectivo y Equivalentes a Corto Plazo </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Comprende las siguientes cuentas con cifras preliminares:</w:t>
            </w:r>
          </w:p>
          <w:p w:rsidR="00CF565F" w:rsidRDefault="00CF565F" w:rsidP="00CF565F">
            <w:pPr>
              <w:autoSpaceDE w:val="0"/>
              <w:autoSpaceDN w:val="0"/>
              <w:adjustRightInd w:val="0"/>
              <w:jc w:val="both"/>
              <w:rPr>
                <w:rFonts w:ascii="Arial" w:hAnsi="Arial" w:cs="Arial"/>
                <w:b/>
                <w:bCs/>
                <w:i/>
                <w:iCs/>
                <w:lang w:eastAsia="es-MX"/>
              </w:rPr>
            </w:pPr>
            <w:r>
              <w:rPr>
                <w:rFonts w:ascii="Arial" w:hAnsi="Arial" w:cs="Arial"/>
                <w:b/>
                <w:bCs/>
                <w:i/>
                <w:iCs/>
                <w:lang w:eastAsia="es-MX"/>
              </w:rPr>
              <w:t>Cuentas por cobrar a corto plazo:</w:t>
            </w:r>
          </w:p>
          <w:tbl>
            <w:tblPr>
              <w:tblW w:w="0" w:type="auto"/>
              <w:tblCellMar>
                <w:left w:w="70" w:type="dxa"/>
                <w:right w:w="70" w:type="dxa"/>
              </w:tblCellMar>
              <w:tblLook w:val="0000" w:firstRow="0" w:lastRow="0" w:firstColumn="0" w:lastColumn="0" w:noHBand="0" w:noVBand="0"/>
            </w:tblPr>
            <w:tblGrid>
              <w:gridCol w:w="6394"/>
              <w:gridCol w:w="2268"/>
            </w:tblGrid>
            <w:tr w:rsidR="00CF565F">
              <w:tc>
                <w:tcPr>
                  <w:tcW w:w="6394"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Cheques Devueltos</w:t>
                  </w:r>
                </w:p>
              </w:tc>
              <w:tc>
                <w:tcPr>
                  <w:tcW w:w="2268"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296,427.64</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Recaudación por Terceros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250,539.17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Programa de apoyo a comerciantes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1,679,600.00</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lastRenderedPageBreak/>
                    <w:t>Transferencia erróneas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308,394.15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Instituciones Bancarias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68,381.34</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SEPAF por participaciones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4,995,508.73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Contratos o convenios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34,136.78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Venta de Bienes y Prestación de Servicios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2,205.30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Recursos monetarios federales robados o extraviados</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7,740.66 </w:t>
                  </w:r>
                </w:p>
              </w:tc>
            </w:tr>
            <w:tr w:rsidR="00CF565F">
              <w:tc>
                <w:tcPr>
                  <w:tcW w:w="6394"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 por cobrar a corto plazo</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7,642,933.77 </w:t>
                  </w:r>
                </w:p>
              </w:tc>
            </w:tr>
            <w:tr w:rsidR="00CF565F">
              <w:tc>
                <w:tcPr>
                  <w:tcW w:w="6394"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p>
              </w:tc>
              <w:tc>
                <w:tcPr>
                  <w:tcW w:w="2268"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p>
              </w:tc>
            </w:tr>
            <w:tr w:rsidR="00CF565F">
              <w:tc>
                <w:tcPr>
                  <w:tcW w:w="6394"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Diversos por cobrar a corto pazo</w:t>
                  </w:r>
                </w:p>
              </w:tc>
              <w:tc>
                <w:tcPr>
                  <w:tcW w:w="2268"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13,196,327.30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Ingresos por recupera a corto plazo</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1,581,603.55 </w:t>
                  </w:r>
                </w:p>
              </w:tc>
            </w:tr>
            <w:tr w:rsidR="00CF565F">
              <w:tc>
                <w:tcPr>
                  <w:tcW w:w="6394"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por Anticipos de la tesorería a corto plazo</w:t>
                  </w:r>
                </w:p>
              </w:tc>
              <w:tc>
                <w:tcPr>
                  <w:tcW w:w="226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198,538.93 </w:t>
                  </w:r>
                </w:p>
              </w:tc>
            </w:tr>
            <w:tr w:rsidR="00CF565F">
              <w:tc>
                <w:tcPr>
                  <w:tcW w:w="6394" w:type="dxa"/>
                  <w:tcBorders>
                    <w:top w:val="nil"/>
                    <w:left w:val="nil"/>
                    <w:bottom w:val="nil"/>
                    <w:right w:val="nil"/>
                  </w:tcBorders>
                </w:tcPr>
                <w:p w:rsidR="00CF565F" w:rsidRDefault="00CF565F">
                  <w:pPr>
                    <w:autoSpaceDE w:val="0"/>
                    <w:autoSpaceDN w:val="0"/>
                    <w:adjustRightInd w:val="0"/>
                    <w:spacing w:after="0"/>
                    <w:rPr>
                      <w:rFonts w:ascii="Arial" w:hAnsi="Arial" w:cs="Arial"/>
                      <w:color w:val="000000"/>
                      <w:sz w:val="20"/>
                      <w:szCs w:val="20"/>
                      <w:lang w:eastAsia="es-MX"/>
                    </w:rPr>
                  </w:pPr>
                </w:p>
              </w:tc>
              <w:tc>
                <w:tcPr>
                  <w:tcW w:w="2268" w:type="dxa"/>
                  <w:tcBorders>
                    <w:top w:val="nil"/>
                    <w:left w:val="nil"/>
                    <w:bottom w:val="nil"/>
                    <w:right w:val="nil"/>
                  </w:tcBorders>
                </w:tcPr>
                <w:p w:rsidR="00CF565F" w:rsidRDefault="00CF565F">
                  <w:pPr>
                    <w:autoSpaceDE w:val="0"/>
                    <w:autoSpaceDN w:val="0"/>
                    <w:adjustRightInd w:val="0"/>
                    <w:spacing w:after="0"/>
                    <w:rPr>
                      <w:rFonts w:ascii="Arial" w:hAnsi="Arial" w:cs="Arial"/>
                      <w:color w:val="000000"/>
                      <w:sz w:val="20"/>
                      <w:szCs w:val="20"/>
                      <w:lang w:eastAsia="es-MX"/>
                    </w:rPr>
                  </w:pPr>
                </w:p>
              </w:tc>
            </w:tr>
            <w:tr w:rsidR="00CF565F">
              <w:tc>
                <w:tcPr>
                  <w:tcW w:w="6394"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Derechos a recibir efectivo y equivalentes a corto plazo</w:t>
                  </w:r>
                </w:p>
              </w:tc>
              <w:tc>
                <w:tcPr>
                  <w:tcW w:w="2268"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22,619,403.55 </w:t>
                  </w:r>
                </w:p>
              </w:tc>
            </w:tr>
          </w:tbl>
          <w:p w:rsidR="00CF565F" w:rsidRDefault="00CF565F" w:rsidP="00CF565F">
            <w:pPr>
              <w:autoSpaceDE w:val="0"/>
              <w:autoSpaceDN w:val="0"/>
              <w:adjustRightInd w:val="0"/>
              <w:jc w:val="both"/>
              <w:rPr>
                <w:rFonts w:ascii="Arial" w:hAnsi="Arial" w:cs="Arial"/>
                <w:b/>
                <w:bCs/>
                <w:i/>
                <w:iCs/>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 xml:space="preserve"> El activo no Circulante comprende lo siguiente:</w:t>
            </w: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Inversiones Financieras a largo plazo.</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El saldo al 30 de Junio de 2023, principalmente, comprende las aportaciones realizadas en ejercicios anteriores, a los fideicomisos que se mencionan a continuación, así como las operaciones realizadas de conformidad con su objeto:</w:t>
            </w:r>
          </w:p>
          <w:tbl>
            <w:tblPr>
              <w:tblW w:w="0" w:type="auto"/>
              <w:tblCellMar>
                <w:left w:w="70" w:type="dxa"/>
                <w:right w:w="70" w:type="dxa"/>
              </w:tblCellMar>
              <w:tblLook w:val="0000" w:firstRow="0" w:lastRow="0" w:firstColumn="0" w:lastColumn="0" w:noHBand="0" w:noVBand="0"/>
            </w:tblPr>
            <w:tblGrid>
              <w:gridCol w:w="6365"/>
              <w:gridCol w:w="1730"/>
            </w:tblGrid>
            <w:tr w:rsidR="00CF565F">
              <w:tc>
                <w:tcPr>
                  <w:tcW w:w="6365"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de Turismo Zona metropolitana de Guadalajara</w:t>
                  </w:r>
                </w:p>
              </w:tc>
              <w:tc>
                <w:tcPr>
                  <w:tcW w:w="1730"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$23,560</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BBVA 403248-8 Cta. 1000630551</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$19,533,439</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Fideicomiso 1555/ BANORTE 666918176</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FF0000"/>
                      <w:sz w:val="20"/>
                      <w:szCs w:val="20"/>
                      <w:lang w:eastAsia="es-MX"/>
                    </w:rPr>
                  </w:pPr>
                  <w:r>
                    <w:rPr>
                      <w:rFonts w:ascii="Arial" w:hAnsi="Arial" w:cs="Arial"/>
                      <w:color w:val="FF0000"/>
                      <w:sz w:val="20"/>
                      <w:szCs w:val="20"/>
                      <w:lang w:eastAsia="es-MX"/>
                    </w:rPr>
                    <w:t>-$801,319</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Cta</w:t>
                  </w:r>
                  <w:proofErr w:type="spellEnd"/>
                  <w:r>
                    <w:rPr>
                      <w:rFonts w:ascii="Arial" w:hAnsi="Arial" w:cs="Arial"/>
                      <w:color w:val="000000"/>
                      <w:sz w:val="20"/>
                      <w:szCs w:val="20"/>
                      <w:lang w:eastAsia="es-MX"/>
                    </w:rPr>
                    <w:t xml:space="preserve"> eje </w:t>
                  </w:r>
                  <w:proofErr w:type="spellStart"/>
                  <w:r>
                    <w:rPr>
                      <w:rFonts w:ascii="Arial" w:hAnsi="Arial" w:cs="Arial"/>
                      <w:color w:val="000000"/>
                      <w:sz w:val="20"/>
                      <w:szCs w:val="20"/>
                      <w:lang w:eastAsia="es-MX"/>
                    </w:rPr>
                    <w:t>Multiva</w:t>
                  </w:r>
                  <w:proofErr w:type="spellEnd"/>
                  <w:r>
                    <w:rPr>
                      <w:rFonts w:ascii="Arial" w:hAnsi="Arial" w:cs="Arial"/>
                      <w:color w:val="000000"/>
                      <w:sz w:val="20"/>
                      <w:szCs w:val="20"/>
                      <w:lang w:eastAsia="es-MX"/>
                    </w:rPr>
                    <w:t xml:space="preserve"> 6919774 fideicomiso 4372</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$109,477,466</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$8,000,000</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Expo-Guadalajara</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$142,155,866</w:t>
                  </w:r>
                </w:p>
              </w:tc>
            </w:tr>
            <w:tr w:rsidR="00CF565F">
              <w:tc>
                <w:tcPr>
                  <w:tcW w:w="6365"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 (programa CUIDEMOS TU EMPLEO)</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$8,859,408</w:t>
                  </w:r>
                </w:p>
              </w:tc>
            </w:tr>
            <w:tr w:rsidR="00CF565F">
              <w:tc>
                <w:tcPr>
                  <w:tcW w:w="6365"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73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$287,248,420</w:t>
                  </w: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Bienes Inmuebles, Infraestructura y Construcciones en Proceso.</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El importe de estos bienes al 30 de Junio de 2023, se desglosa a continuación:</w:t>
            </w:r>
          </w:p>
          <w:tbl>
            <w:tblPr>
              <w:tblW w:w="0" w:type="auto"/>
              <w:tblCellMar>
                <w:left w:w="70" w:type="dxa"/>
                <w:right w:w="70" w:type="dxa"/>
              </w:tblCellMar>
              <w:tblLook w:val="0000" w:firstRow="0" w:lastRow="0" w:firstColumn="0" w:lastColumn="0" w:noHBand="0" w:noVBand="0"/>
            </w:tblPr>
            <w:tblGrid>
              <w:gridCol w:w="6111"/>
              <w:gridCol w:w="2126"/>
            </w:tblGrid>
            <w:tr w:rsidR="00CF565F">
              <w:tc>
                <w:tcPr>
                  <w:tcW w:w="6111"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Terrenos</w:t>
                  </w:r>
                </w:p>
              </w:tc>
              <w:tc>
                <w:tcPr>
                  <w:tcW w:w="2126"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389,839,743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Edificios no Habitacionales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1,297,424,423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Infraestructura</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3,940,485,680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de Dominio Publico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3,667,177,411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Habitacional en proceso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10,408,076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no Habitacional en proceso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2,097,609,192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Construcciones de obras para el abastecimiento de Agua,</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96,591,741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División de Terrenos y Construcción de Obras de Urbanización</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179,648,350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Construcción de Vías de Comunicación en proceso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1,199,269,468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Construcciones de Ingeniería civil y obra</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49,481,382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lastRenderedPageBreak/>
                    <w:t>Trabajos de Acabados en edificaciones y otros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34,169,204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en bienes propios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237,883,050 </w:t>
                  </w:r>
                </w:p>
              </w:tc>
            </w:tr>
            <w:tr w:rsidR="00CF565F">
              <w:tc>
                <w:tcPr>
                  <w:tcW w:w="6111"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inmuebles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9,532,810,307 </w:t>
                  </w:r>
                </w:p>
              </w:tc>
            </w:tr>
            <w:tr w:rsidR="00CF565F">
              <w:tc>
                <w:tcPr>
                  <w:tcW w:w="6111"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Bienes muebles</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Su saldo se integra como describe:</w:t>
            </w:r>
          </w:p>
          <w:tbl>
            <w:tblPr>
              <w:tblW w:w="0" w:type="auto"/>
              <w:tblCellMar>
                <w:left w:w="70" w:type="dxa"/>
                <w:right w:w="70" w:type="dxa"/>
              </w:tblCellMar>
              <w:tblLook w:val="0000" w:firstRow="0" w:lastRow="0" w:firstColumn="0" w:lastColumn="0" w:noHBand="0" w:noVBand="0"/>
            </w:tblPr>
            <w:tblGrid>
              <w:gridCol w:w="6111"/>
              <w:gridCol w:w="2126"/>
            </w:tblGrid>
            <w:tr w:rsidR="00CF565F">
              <w:tc>
                <w:tcPr>
                  <w:tcW w:w="6111"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 y equipo de administración</w:t>
                  </w:r>
                </w:p>
              </w:tc>
              <w:tc>
                <w:tcPr>
                  <w:tcW w:w="2126"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486,217,635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Mobiliarios y equipo Educaciones y recreativo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128,443,189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e Instrumental médico y de laboratorio</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81,555,556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Vehículos y equipo de transporte</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729,930,647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Equipo de Defensa y seguridad</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107,534,755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Maquinaria, otros equipos y herramientas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452,206,009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Colecciones, obras arte y objetos valiosos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29,273,238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Activos Biológicos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1,233,137 </w:t>
                  </w:r>
                </w:p>
              </w:tc>
            </w:tr>
            <w:tr w:rsidR="00CF565F">
              <w:tc>
                <w:tcPr>
                  <w:tcW w:w="6111"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muebles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2,016,394,166 </w:t>
                  </w: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 xml:space="preserve">Estimaciones y Deterioros </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No se tiene inidentificadas causas de deterioro que afecten el valor de los activos reconocidos contablemente, que son propiedad del Municipio.</w:t>
            </w: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Otros Activos</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Su importe se refiere, principalmente, a cierto software adquirido por el Municipio y los derechos pagados por  el registro de la patente de la mascota oficial de los Juegos Panamericanos 2011.</w:t>
            </w:r>
          </w:p>
          <w:p w:rsidR="00CF565F" w:rsidRDefault="00CF565F" w:rsidP="00CF565F">
            <w:pPr>
              <w:autoSpaceDE w:val="0"/>
              <w:autoSpaceDN w:val="0"/>
              <w:adjustRightInd w:val="0"/>
              <w:jc w:val="both"/>
              <w:rPr>
                <w:rFonts w:ascii="Arial" w:hAnsi="Arial" w:cs="Arial"/>
                <w:lang w:eastAsia="es-MX"/>
              </w:rPr>
            </w:pPr>
          </w:p>
          <w:tbl>
            <w:tblPr>
              <w:tblW w:w="0" w:type="auto"/>
              <w:tblCellMar>
                <w:left w:w="70" w:type="dxa"/>
                <w:right w:w="70" w:type="dxa"/>
              </w:tblCellMar>
              <w:tblLook w:val="0000" w:firstRow="0" w:lastRow="0" w:firstColumn="0" w:lastColumn="0" w:noHBand="0" w:noVBand="0"/>
            </w:tblPr>
            <w:tblGrid>
              <w:gridCol w:w="6111"/>
              <w:gridCol w:w="2126"/>
            </w:tblGrid>
            <w:tr w:rsidR="00CF565F">
              <w:tc>
                <w:tcPr>
                  <w:tcW w:w="6111"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Software</w:t>
                  </w:r>
                </w:p>
              </w:tc>
              <w:tc>
                <w:tcPr>
                  <w:tcW w:w="2126"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 xml:space="preserve"> $         70,592,403</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Patentes, Marcas y Derechos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 xml:space="preserve"> $         15,256,513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Concesiones y Franquicias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 xml:space="preserve"> $         78,461,953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Licencias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 xml:space="preserve"> $           5,188,136 </w:t>
                  </w:r>
                </w:p>
              </w:tc>
            </w:tr>
            <w:tr w:rsidR="00CF565F">
              <w:tc>
                <w:tcPr>
                  <w:tcW w:w="61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Otros Activos Intangibles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lang w:eastAsia="es-MX"/>
                    </w:rPr>
                  </w:pPr>
                  <w:r>
                    <w:rPr>
                      <w:rFonts w:ascii="Arial" w:hAnsi="Arial" w:cs="Arial"/>
                      <w:color w:val="000000"/>
                      <w:lang w:eastAsia="es-MX"/>
                    </w:rPr>
                    <w:t xml:space="preserve"> $           8,431,710 </w:t>
                  </w:r>
                </w:p>
              </w:tc>
            </w:tr>
            <w:tr w:rsidR="00CF565F">
              <w:tc>
                <w:tcPr>
                  <w:tcW w:w="6111"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 de Activos Intangibles</w:t>
                  </w:r>
                </w:p>
              </w:tc>
              <w:tc>
                <w:tcPr>
                  <w:tcW w:w="2126"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 xml:space="preserve"> $        177,930,715 </w:t>
                  </w:r>
                </w:p>
              </w:tc>
            </w:tr>
          </w:tbl>
          <w:p w:rsidR="00CF565F" w:rsidRDefault="00CF565F" w:rsidP="00CF565F">
            <w:pPr>
              <w:autoSpaceDE w:val="0"/>
              <w:autoSpaceDN w:val="0"/>
              <w:adjustRightInd w:val="0"/>
              <w:jc w:val="both"/>
              <w:rPr>
                <w:rFonts w:ascii="Arial" w:hAnsi="Arial" w:cs="Arial"/>
                <w:b/>
                <w:bCs/>
                <w:lang w:eastAsia="es-MX"/>
              </w:rPr>
            </w:pP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PASIVO</w:t>
            </w: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Cuentas y Documentos por pagar a corto plazo</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 xml:space="preserve"> Las cuentas y documentos por pagar a corto plazo, al 30 de Junio de 2023 se integran como sigue:</w:t>
            </w:r>
          </w:p>
          <w:tbl>
            <w:tblPr>
              <w:tblW w:w="0" w:type="auto"/>
              <w:tblCellMar>
                <w:left w:w="70" w:type="dxa"/>
                <w:right w:w="70" w:type="dxa"/>
              </w:tblCellMar>
              <w:tblLook w:val="0000" w:firstRow="0" w:lastRow="0" w:firstColumn="0" w:lastColumn="0" w:noHBand="0" w:noVBand="0"/>
            </w:tblPr>
            <w:tblGrid>
              <w:gridCol w:w="6380"/>
              <w:gridCol w:w="2282"/>
            </w:tblGrid>
            <w:tr w:rsidR="00CF565F">
              <w:tc>
                <w:tcPr>
                  <w:tcW w:w="6380"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Servicios personales por pagar a corto plazo</w:t>
                  </w:r>
                </w:p>
              </w:tc>
              <w:tc>
                <w:tcPr>
                  <w:tcW w:w="2282"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3,274,129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Proveedores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22,338,850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Contratistas por obas públicas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22,833,146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Transferencias otorgadas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60,303,550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Retenciones y contribuciones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60,126,856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Devolución de la ley de ingresos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3,995,971 </w:t>
                  </w:r>
                </w:p>
              </w:tc>
            </w:tr>
            <w:tr w:rsidR="00CF565F">
              <w:tc>
                <w:tcPr>
                  <w:tcW w:w="638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cuentas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7,390,802 </w:t>
                  </w:r>
                </w:p>
              </w:tc>
            </w:tr>
            <w:tr w:rsidR="00CF565F">
              <w:tc>
                <w:tcPr>
                  <w:tcW w:w="6380"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cuentas por pagar a corto plazo</w:t>
                  </w:r>
                </w:p>
              </w:tc>
              <w:tc>
                <w:tcPr>
                  <w:tcW w:w="2282"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135,585,604 </w:t>
                  </w: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Se tiene detectadas ciertas situaciones que derivando en el registro contable de pasivos que a la fecha no son exigibles y que han sido cuantificados</w:t>
            </w: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b/>
                <w:bCs/>
                <w:lang w:eastAsia="es-MX"/>
              </w:rPr>
            </w:pPr>
            <w:r>
              <w:rPr>
                <w:rFonts w:ascii="Arial" w:hAnsi="Arial" w:cs="Arial"/>
                <w:b/>
                <w:bCs/>
                <w:lang w:eastAsia="es-MX"/>
              </w:rPr>
              <w:t>Deuda pública</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Se conforma como a continuación se señala:</w:t>
            </w:r>
          </w:p>
          <w:tbl>
            <w:tblPr>
              <w:tblW w:w="0" w:type="auto"/>
              <w:tblCellMar>
                <w:left w:w="70" w:type="dxa"/>
                <w:right w:w="70" w:type="dxa"/>
              </w:tblCellMar>
              <w:tblLook w:val="0000" w:firstRow="0" w:lastRow="0" w:firstColumn="0" w:lastColumn="0" w:noHBand="0" w:noVBand="0"/>
            </w:tblPr>
            <w:tblGrid>
              <w:gridCol w:w="2998"/>
              <w:gridCol w:w="1758"/>
              <w:gridCol w:w="1995"/>
              <w:gridCol w:w="1995"/>
            </w:tblGrid>
            <w:tr w:rsidR="00CF565F">
              <w:tc>
                <w:tcPr>
                  <w:tcW w:w="3420" w:type="dxa"/>
                  <w:tcBorders>
                    <w:top w:val="single" w:sz="6" w:space="0" w:color="auto"/>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Institución Bancaria</w:t>
                  </w:r>
                </w:p>
              </w:tc>
              <w:tc>
                <w:tcPr>
                  <w:tcW w:w="1840"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Corto plazo</w:t>
                  </w:r>
                </w:p>
              </w:tc>
              <w:tc>
                <w:tcPr>
                  <w:tcW w:w="2040"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Largo Plazo</w:t>
                  </w:r>
                </w:p>
              </w:tc>
              <w:tc>
                <w:tcPr>
                  <w:tcW w:w="2040"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w:t>
                  </w:r>
                </w:p>
              </w:tc>
            </w:tr>
            <w:tr w:rsidR="00CF565F">
              <w:tc>
                <w:tcPr>
                  <w:tcW w:w="342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BBVA Bancomer</w:t>
                  </w:r>
                </w:p>
              </w:tc>
              <w:tc>
                <w:tcPr>
                  <w:tcW w:w="18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705,979,578.02 </w:t>
                  </w:r>
                </w:p>
              </w:tc>
              <w:tc>
                <w:tcPr>
                  <w:tcW w:w="20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705,979,578.02 </w:t>
                  </w:r>
                </w:p>
              </w:tc>
            </w:tr>
            <w:tr w:rsidR="00CF565F">
              <w:tc>
                <w:tcPr>
                  <w:tcW w:w="3420"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 Mercantil de Norte</w:t>
                  </w:r>
                </w:p>
              </w:tc>
              <w:tc>
                <w:tcPr>
                  <w:tcW w:w="18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30,555,549.84</w:t>
                  </w:r>
                </w:p>
              </w:tc>
              <w:tc>
                <w:tcPr>
                  <w:tcW w:w="20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432,870,495.24 </w:t>
                  </w:r>
                </w:p>
              </w:tc>
              <w:tc>
                <w:tcPr>
                  <w:tcW w:w="2040"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463,426,045.08 </w:t>
                  </w:r>
                </w:p>
              </w:tc>
            </w:tr>
            <w:tr w:rsidR="00CF565F">
              <w:tc>
                <w:tcPr>
                  <w:tcW w:w="3420" w:type="dxa"/>
                  <w:tcBorders>
                    <w:top w:val="nil"/>
                    <w:left w:val="single" w:sz="6" w:space="0" w:color="auto"/>
                    <w:bottom w:val="nil"/>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Banobras</w:t>
                  </w:r>
                  <w:proofErr w:type="spellEnd"/>
                  <w:r>
                    <w:rPr>
                      <w:rFonts w:ascii="Arial" w:hAnsi="Arial" w:cs="Arial"/>
                      <w:color w:val="000000"/>
                      <w:sz w:val="20"/>
                      <w:szCs w:val="20"/>
                      <w:lang w:eastAsia="es-MX"/>
                    </w:rPr>
                    <w:t xml:space="preserve"> 1173822853</w:t>
                  </w:r>
                </w:p>
              </w:tc>
              <w:tc>
                <w:tcPr>
                  <w:tcW w:w="1840"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36,670,061.55</w:t>
                  </w:r>
                </w:p>
              </w:tc>
              <w:tc>
                <w:tcPr>
                  <w:tcW w:w="2040"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36,670,061.55 </w:t>
                  </w:r>
                </w:p>
              </w:tc>
            </w:tr>
            <w:tr w:rsidR="00CF565F">
              <w:tc>
                <w:tcPr>
                  <w:tcW w:w="3420"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840"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67,225,611.38 </w:t>
                  </w:r>
                </w:p>
              </w:tc>
              <w:tc>
                <w:tcPr>
                  <w:tcW w:w="2040"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$1,138,850,073.26 </w:t>
                  </w:r>
                </w:p>
              </w:tc>
              <w:tc>
                <w:tcPr>
                  <w:tcW w:w="2040"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$1,206,075,684.65 </w:t>
                  </w:r>
                </w:p>
              </w:tc>
            </w:tr>
          </w:tbl>
          <w:p w:rsidR="00CF565F" w:rsidRDefault="00CF565F" w:rsidP="00CF565F">
            <w:pPr>
              <w:autoSpaceDE w:val="0"/>
              <w:autoSpaceDN w:val="0"/>
              <w:adjustRightInd w:val="0"/>
              <w:jc w:val="both"/>
              <w:rPr>
                <w:rFonts w:ascii="Arial" w:hAnsi="Arial" w:cs="Arial"/>
                <w:sz w:val="20"/>
                <w:szCs w:val="20"/>
                <w:lang w:eastAsia="es-MX"/>
              </w:rPr>
            </w:pP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A partir de septiembre 2017, fue pactado con BBVA Bancomer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 xml:space="preserve">A partir de 05 de Octubre de  2022, fue pactado  un crédito simple con BBVA Bancomer, para refinanciamiento de crédito original, con una plazo de vencimiento de 12 años, con una tasa efectiva 10.49, otorgaron 24 meses de gracias al Municipio de Guadalajara a partir de la disposición del crédito que puede ser hasta por la $ 810,104,552.12, </w:t>
            </w:r>
            <w:proofErr w:type="spellStart"/>
            <w:r>
              <w:rPr>
                <w:rFonts w:ascii="Arial" w:hAnsi="Arial" w:cs="Arial"/>
                <w:lang w:eastAsia="es-MX"/>
              </w:rPr>
              <w:t>asi</w:t>
            </w:r>
            <w:proofErr w:type="spellEnd"/>
            <w:r>
              <w:rPr>
                <w:rFonts w:ascii="Arial" w:hAnsi="Arial" w:cs="Arial"/>
                <w:lang w:eastAsia="es-MX"/>
              </w:rPr>
              <w:t xml:space="preserve"> como el compromiso que recae del 17% de las participaciones federales (fondo general) para garantizar el pago oportuno de la deuda, se constituye  un fideicomiso irrevocable de administración y medio de pago, a través del cual se cubren las obligaciones del </w:t>
            </w:r>
            <w:r>
              <w:rPr>
                <w:rFonts w:ascii="Arial" w:hAnsi="Arial" w:cs="Arial"/>
                <w:lang w:eastAsia="es-MX"/>
              </w:rPr>
              <w:lastRenderedPageBreak/>
              <w:t>Municipio.</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A partir de septiembre de 2017, fue pactado con el Banco Mercantil del Norte, la reducción de la tasa de interés para quedar en TIIE+.90 puntos porcentuales, así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ind w:left="1146" w:hanging="720"/>
              <w:jc w:val="both"/>
              <w:rPr>
                <w:rFonts w:ascii="Arial" w:hAnsi="Arial" w:cs="Arial"/>
                <w:lang w:eastAsia="es-MX"/>
              </w:rPr>
            </w:pPr>
            <w:r>
              <w:rPr>
                <w:rFonts w:ascii="Arial" w:hAnsi="Arial" w:cs="Arial"/>
                <w:b/>
                <w:bCs/>
                <w:lang w:eastAsia="es-MX"/>
              </w:rPr>
              <w:t>III)</w:t>
            </w:r>
            <w:r>
              <w:rPr>
                <w:rFonts w:ascii="Arial" w:hAnsi="Arial" w:cs="Arial"/>
                <w:b/>
                <w:bCs/>
                <w:lang w:eastAsia="es-MX"/>
              </w:rPr>
              <w:tab/>
              <w:t>Notas al Estado de Variación en la Hacienda pública.</w:t>
            </w:r>
          </w:p>
          <w:p w:rsidR="00CF565F" w:rsidRDefault="00CF565F" w:rsidP="00CF565F">
            <w:pPr>
              <w:autoSpaceDE w:val="0"/>
              <w:autoSpaceDN w:val="0"/>
              <w:adjustRightInd w:val="0"/>
              <w:jc w:val="both"/>
              <w:rPr>
                <w:rFonts w:ascii="Arial" w:hAnsi="Arial" w:cs="Arial"/>
                <w:lang w:eastAsia="es-MX"/>
              </w:rPr>
            </w:pPr>
            <w:r>
              <w:rPr>
                <w:rFonts w:ascii="Arial" w:hAnsi="Arial" w:cs="Arial"/>
                <w:lang w:eastAsia="es-MX"/>
              </w:rPr>
              <w:t>El desglose de las cuentas se informa de manera agrupada acerca de las modificaciones al patrimonio contribuido y los recursos que modifican al patrimonio generado se proporcionan en el estado de Variación en la Hacienda Pública al 30 de Junio de 2023</w:t>
            </w:r>
          </w:p>
          <w:p w:rsidR="00CF565F" w:rsidRDefault="00CF565F" w:rsidP="00CF565F">
            <w:pPr>
              <w:autoSpaceDE w:val="0"/>
              <w:autoSpaceDN w:val="0"/>
              <w:adjustRightInd w:val="0"/>
              <w:ind w:left="1146" w:hanging="720"/>
              <w:jc w:val="both"/>
              <w:rPr>
                <w:rFonts w:ascii="Arial" w:hAnsi="Arial" w:cs="Arial"/>
                <w:lang w:eastAsia="es-MX"/>
              </w:rPr>
            </w:pPr>
            <w:r>
              <w:rPr>
                <w:rFonts w:ascii="Arial" w:hAnsi="Arial" w:cs="Arial"/>
                <w:b/>
                <w:bCs/>
                <w:lang w:eastAsia="es-MX"/>
              </w:rPr>
              <w:t>IV)</w:t>
            </w:r>
            <w:r>
              <w:rPr>
                <w:rFonts w:ascii="Arial" w:hAnsi="Arial" w:cs="Arial"/>
                <w:b/>
                <w:bCs/>
                <w:lang w:eastAsia="es-MX"/>
              </w:rPr>
              <w:tab/>
              <w:t>Notas al Estado de Flujo de Efectivo</w:t>
            </w:r>
          </w:p>
          <w:p w:rsidR="00CF565F" w:rsidRDefault="00CF565F" w:rsidP="00CF565F">
            <w:pPr>
              <w:autoSpaceDE w:val="0"/>
              <w:autoSpaceDN w:val="0"/>
              <w:adjustRightInd w:val="0"/>
              <w:ind w:left="720" w:hanging="360"/>
              <w:jc w:val="both"/>
              <w:rPr>
                <w:rFonts w:ascii="Arial" w:hAnsi="Arial" w:cs="Arial"/>
                <w:lang w:eastAsia="es-MX"/>
              </w:rPr>
            </w:pPr>
            <w:r>
              <w:rPr>
                <w:rFonts w:ascii="Arial" w:hAnsi="Arial" w:cs="Arial"/>
                <w:lang w:eastAsia="es-MX"/>
              </w:rPr>
              <w:t>1.</w:t>
            </w:r>
            <w:r>
              <w:rPr>
                <w:rFonts w:ascii="Arial" w:hAnsi="Arial" w:cs="Arial"/>
                <w:lang w:eastAsia="es-MX"/>
              </w:rPr>
              <w:tab/>
              <w:t>El análisis de los saldos inicial y final que figuran en la última parte del Estado de Flujo de efectivo en la cuenta de efectivo y equivalentes como sigue:</w:t>
            </w:r>
          </w:p>
          <w:p w:rsidR="00CF565F" w:rsidRDefault="00CF565F" w:rsidP="00CF565F">
            <w:pPr>
              <w:autoSpaceDE w:val="0"/>
              <w:autoSpaceDN w:val="0"/>
              <w:adjustRightInd w:val="0"/>
              <w:jc w:val="both"/>
              <w:rPr>
                <w:rFonts w:ascii="Arial" w:hAnsi="Arial" w:cs="Arial"/>
                <w:lang w:eastAsia="es-MX"/>
              </w:rPr>
            </w:pPr>
          </w:p>
          <w:tbl>
            <w:tblPr>
              <w:tblW w:w="0" w:type="auto"/>
              <w:tblCellMar>
                <w:left w:w="70" w:type="dxa"/>
                <w:right w:w="70" w:type="dxa"/>
              </w:tblCellMar>
              <w:tblLook w:val="0000" w:firstRow="0" w:lastRow="0" w:firstColumn="0" w:lastColumn="0" w:noHBand="0" w:noVBand="0"/>
            </w:tblPr>
            <w:tblGrid>
              <w:gridCol w:w="5394"/>
              <w:gridCol w:w="1698"/>
              <w:gridCol w:w="1670"/>
            </w:tblGrid>
            <w:tr w:rsidR="00CF565F">
              <w:tc>
                <w:tcPr>
                  <w:tcW w:w="5811" w:type="dxa"/>
                  <w:tcBorders>
                    <w:top w:val="nil"/>
                    <w:left w:val="nil"/>
                    <w:bottom w:val="nil"/>
                    <w:right w:val="nil"/>
                  </w:tcBorders>
                </w:tcPr>
                <w:p w:rsidR="00CF565F" w:rsidRDefault="00CF565F">
                  <w:pPr>
                    <w:autoSpaceDE w:val="0"/>
                    <w:autoSpaceDN w:val="0"/>
                    <w:adjustRightInd w:val="0"/>
                    <w:spacing w:after="0"/>
                    <w:rPr>
                      <w:rFonts w:ascii="MS Sans Serif" w:hAnsi="MS Sans Serif" w:cs="MS Sans Serif"/>
                      <w:color w:val="000000"/>
                      <w:sz w:val="20"/>
                      <w:szCs w:val="20"/>
                      <w:lang w:eastAsia="es-MX"/>
                    </w:rPr>
                  </w:pPr>
                </w:p>
              </w:tc>
              <w:tc>
                <w:tcPr>
                  <w:tcW w:w="1717"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c>
                <w:tcPr>
                  <w:tcW w:w="1698" w:type="dxa"/>
                  <w:tcBorders>
                    <w:top w:val="nil"/>
                    <w:left w:val="nil"/>
                    <w:bottom w:val="nil"/>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CF565F">
              <w:tc>
                <w:tcPr>
                  <w:tcW w:w="5811" w:type="dxa"/>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717"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520,008.78 </w:t>
                  </w:r>
                </w:p>
              </w:tc>
              <w:tc>
                <w:tcPr>
                  <w:tcW w:w="1698"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517,509</w:t>
                  </w:r>
                </w:p>
              </w:tc>
            </w:tr>
            <w:tr w:rsidR="00CF565F">
              <w:tc>
                <w:tcPr>
                  <w:tcW w:w="58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71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300,111,928.47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290,484,581</w:t>
                  </w:r>
                </w:p>
              </w:tc>
            </w:tr>
            <w:tr w:rsidR="00CF565F">
              <w:tc>
                <w:tcPr>
                  <w:tcW w:w="58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w:t>
                  </w:r>
                </w:p>
              </w:tc>
              <w:tc>
                <w:tcPr>
                  <w:tcW w:w="171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252,525,343.73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742,622,824</w:t>
                  </w:r>
                </w:p>
              </w:tc>
            </w:tr>
            <w:tr w:rsidR="00CF565F">
              <w:tc>
                <w:tcPr>
                  <w:tcW w:w="58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afectaciones Especifica</w:t>
                  </w:r>
                </w:p>
              </w:tc>
              <w:tc>
                <w:tcPr>
                  <w:tcW w:w="171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137,939.59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137,939</w:t>
                  </w:r>
                </w:p>
              </w:tc>
            </w:tr>
            <w:tr w:rsidR="00CF565F">
              <w:tc>
                <w:tcPr>
                  <w:tcW w:w="58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de fondos de terceros en Garantía y/o Administración</w:t>
                  </w:r>
                </w:p>
              </w:tc>
              <w:tc>
                <w:tcPr>
                  <w:tcW w:w="171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15,242,110.20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15,242,110</w:t>
                  </w:r>
                </w:p>
              </w:tc>
            </w:tr>
            <w:tr w:rsidR="00CF565F">
              <w:tc>
                <w:tcPr>
                  <w:tcW w:w="5811"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71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3,502,326.18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490,079</w:t>
                  </w:r>
                </w:p>
              </w:tc>
            </w:tr>
            <w:tr w:rsidR="00CF565F">
              <w:tc>
                <w:tcPr>
                  <w:tcW w:w="5811"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EFECTIVO Y EQUIVALENTES</w:t>
                  </w:r>
                </w:p>
              </w:tc>
              <w:tc>
                <w:tcPr>
                  <w:tcW w:w="1717" w:type="dxa"/>
                  <w:tcBorders>
                    <w:top w:val="nil"/>
                    <w:left w:val="nil"/>
                    <w:bottom w:val="single" w:sz="6" w:space="0" w:color="auto"/>
                    <w:right w:val="nil"/>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572,039,656.95 </w:t>
                  </w:r>
                </w:p>
              </w:tc>
              <w:tc>
                <w:tcPr>
                  <w:tcW w:w="1698"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1,049,495,042</w:t>
                  </w:r>
                </w:p>
              </w:tc>
            </w:tr>
          </w:tbl>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jc w:val="both"/>
              <w:rPr>
                <w:rFonts w:ascii="Arial" w:hAnsi="Arial" w:cs="Arial"/>
                <w:lang w:eastAsia="es-MX"/>
              </w:rPr>
            </w:pPr>
          </w:p>
          <w:p w:rsidR="00CF565F" w:rsidRDefault="00CF565F" w:rsidP="00CF565F">
            <w:pPr>
              <w:autoSpaceDE w:val="0"/>
              <w:autoSpaceDN w:val="0"/>
              <w:adjustRightInd w:val="0"/>
              <w:ind w:left="720" w:hanging="360"/>
              <w:jc w:val="both"/>
              <w:rPr>
                <w:rFonts w:ascii="Arial" w:hAnsi="Arial" w:cs="Arial"/>
                <w:lang w:eastAsia="es-MX"/>
              </w:rPr>
            </w:pPr>
            <w:r>
              <w:rPr>
                <w:rFonts w:ascii="Arial" w:hAnsi="Arial" w:cs="Arial"/>
                <w:lang w:eastAsia="es-MX"/>
              </w:rPr>
              <w:lastRenderedPageBreak/>
              <w:t>2.</w:t>
            </w:r>
            <w:r>
              <w:rPr>
                <w:rFonts w:ascii="Arial" w:hAnsi="Arial" w:cs="Arial"/>
                <w:lang w:eastAsia="es-MX"/>
              </w:rPr>
              <w:tab/>
              <w:t xml:space="preserve"> A continuación se detallan las adquisiciones de las actividades de Inversión efectivamente pagadas respecto del aparatado de aplicación. Cifras preliminares</w:t>
            </w:r>
          </w:p>
          <w:tbl>
            <w:tblPr>
              <w:tblW w:w="0" w:type="auto"/>
              <w:tblCellMar>
                <w:left w:w="70" w:type="dxa"/>
                <w:right w:w="70" w:type="dxa"/>
              </w:tblCellMar>
              <w:tblLook w:val="0000" w:firstRow="0" w:lastRow="0" w:firstColumn="0" w:lastColumn="0" w:noHBand="0" w:noVBand="0"/>
            </w:tblPr>
            <w:tblGrid>
              <w:gridCol w:w="5019"/>
              <w:gridCol w:w="1844"/>
              <w:gridCol w:w="1883"/>
            </w:tblGrid>
            <w:tr w:rsidR="00CF565F">
              <w:tc>
                <w:tcPr>
                  <w:tcW w:w="9021" w:type="dxa"/>
                  <w:gridSpan w:val="3"/>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4"/>
                      <w:szCs w:val="24"/>
                      <w:lang w:eastAsia="es-MX"/>
                    </w:rPr>
                  </w:pPr>
                  <w:r>
                    <w:rPr>
                      <w:rFonts w:ascii="Arial" w:hAnsi="Arial" w:cs="Arial"/>
                      <w:b/>
                      <w:bCs/>
                      <w:color w:val="000000"/>
                      <w:sz w:val="24"/>
                      <w:szCs w:val="24"/>
                      <w:lang w:eastAsia="es-MX"/>
                    </w:rPr>
                    <w:t>Adquisiciones de Actividades de Inversión efectivamente pagadas, respecto del apartado de aplicación.</w:t>
                  </w:r>
                </w:p>
              </w:tc>
            </w:tr>
            <w:tr w:rsidR="00CF565F">
              <w:tc>
                <w:tcPr>
                  <w:tcW w:w="5242"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Concepto</w:t>
                  </w:r>
                </w:p>
              </w:tc>
              <w:tc>
                <w:tcPr>
                  <w:tcW w:w="186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2023</w:t>
                  </w:r>
                </w:p>
              </w:tc>
              <w:tc>
                <w:tcPr>
                  <w:tcW w:w="1915"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2022</w:t>
                  </w:r>
                </w:p>
              </w:tc>
            </w:tr>
            <w:tr w:rsidR="00CF565F">
              <w:tc>
                <w:tcPr>
                  <w:tcW w:w="5242"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Bienes Inmuebles, Infraestructura y Construcciones en Proceso</w:t>
                  </w:r>
                </w:p>
              </w:tc>
              <w:tc>
                <w:tcPr>
                  <w:tcW w:w="186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 xml:space="preserve">    6,238,669,600.60 </w:t>
                  </w:r>
                </w:p>
              </w:tc>
              <w:tc>
                <w:tcPr>
                  <w:tcW w:w="1915"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 xml:space="preserve">        145,307,326.07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Terrenos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Viviendas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Edificaciones no Habitacionales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Infraestructura</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de Dominio Público</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6,238,669,600.60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145,307,326.07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Propios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Otros Bienes Inmuebles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single" w:sz="6" w:space="0" w:color="auto"/>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Bienes Muebles</w:t>
                  </w:r>
                </w:p>
              </w:tc>
              <w:tc>
                <w:tcPr>
                  <w:tcW w:w="1864"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 xml:space="preserve">         45,063,799.28 </w:t>
                  </w:r>
                </w:p>
              </w:tc>
              <w:tc>
                <w:tcPr>
                  <w:tcW w:w="1915" w:type="dxa"/>
                  <w:tcBorders>
                    <w:top w:val="single" w:sz="6" w:space="0" w:color="auto"/>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 xml:space="preserve">          15,108,143.31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28,605,951.87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4,829,186.41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13,209,021.03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1,939,520.00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9,045,819.95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1,309,306.38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1,233,136.95 </w:t>
                  </w:r>
                </w:p>
              </w:tc>
            </w:tr>
            <w:tr w:rsidR="00CF565F">
              <w:tc>
                <w:tcPr>
                  <w:tcW w:w="5242" w:type="dxa"/>
                  <w:tcBorders>
                    <w:top w:val="nil"/>
                    <w:left w:val="single" w:sz="6" w:space="0" w:color="auto"/>
                    <w:bottom w:val="nil"/>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Colecciones, Obras de arte y Objetos Valiosos</w:t>
                  </w:r>
                </w:p>
              </w:tc>
              <w:tc>
                <w:tcPr>
                  <w:tcW w:w="1864"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nil"/>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    </w:t>
                  </w:r>
                </w:p>
              </w:tc>
            </w:tr>
            <w:tr w:rsidR="00CF565F">
              <w:tc>
                <w:tcPr>
                  <w:tcW w:w="5242" w:type="dxa"/>
                  <w:tcBorders>
                    <w:top w:val="nil"/>
                    <w:left w:val="single" w:sz="6" w:space="0" w:color="auto"/>
                    <w:bottom w:val="single" w:sz="6" w:space="0" w:color="auto"/>
                    <w:right w:val="nil"/>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864"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w:t>
                  </w:r>
                </w:p>
              </w:tc>
              <w:tc>
                <w:tcPr>
                  <w:tcW w:w="1915"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                   -    </w:t>
                  </w:r>
                </w:p>
              </w:tc>
            </w:tr>
          </w:tbl>
          <w:p w:rsidR="00CF565F" w:rsidRDefault="00CF565F" w:rsidP="00CF565F">
            <w:pPr>
              <w:tabs>
                <w:tab w:val="left" w:pos="2970"/>
              </w:tabs>
              <w:autoSpaceDE w:val="0"/>
              <w:autoSpaceDN w:val="0"/>
              <w:adjustRightInd w:val="0"/>
              <w:jc w:val="both"/>
              <w:rPr>
                <w:rFonts w:ascii="Arial" w:hAnsi="Arial" w:cs="Arial"/>
                <w:lang w:eastAsia="es-MX"/>
              </w:rPr>
            </w:pPr>
          </w:p>
          <w:p w:rsidR="00CF565F" w:rsidRDefault="00CF565F" w:rsidP="00CF565F">
            <w:pPr>
              <w:tabs>
                <w:tab w:val="left" w:pos="2970"/>
              </w:tabs>
              <w:autoSpaceDE w:val="0"/>
              <w:autoSpaceDN w:val="0"/>
              <w:adjustRightInd w:val="0"/>
              <w:ind w:left="720" w:hanging="360"/>
              <w:jc w:val="both"/>
              <w:rPr>
                <w:rFonts w:ascii="Arial" w:hAnsi="Arial" w:cs="Arial"/>
                <w:lang w:eastAsia="es-MX"/>
              </w:rPr>
            </w:pPr>
            <w:r>
              <w:rPr>
                <w:rFonts w:ascii="Arial" w:hAnsi="Arial" w:cs="Arial"/>
                <w:lang w:eastAsia="es-MX"/>
              </w:rPr>
              <w:t>3.</w:t>
            </w:r>
            <w:r>
              <w:rPr>
                <w:rFonts w:ascii="Arial" w:hAnsi="Arial" w:cs="Arial"/>
                <w:lang w:eastAsia="es-MX"/>
              </w:rPr>
              <w:tab/>
              <w:t>Presentar la Conciliación de los Flujos Netos de las Actividades de Operación y los saldos de Resultados del Ejercicio (Ahorro/ Desahorro), utilizando el siguiente cuadro:</w:t>
            </w:r>
          </w:p>
          <w:p w:rsidR="00CF565F" w:rsidRDefault="00CF565F" w:rsidP="00CF565F">
            <w:pPr>
              <w:tabs>
                <w:tab w:val="left" w:pos="2970"/>
              </w:tabs>
              <w:autoSpaceDE w:val="0"/>
              <w:autoSpaceDN w:val="0"/>
              <w:adjustRightInd w:val="0"/>
              <w:jc w:val="both"/>
              <w:rPr>
                <w:rFonts w:ascii="Arial" w:hAnsi="Arial" w:cs="Arial"/>
                <w:lang w:eastAsia="es-MX"/>
              </w:rPr>
            </w:pPr>
          </w:p>
          <w:tbl>
            <w:tblPr>
              <w:tblW w:w="0" w:type="auto"/>
              <w:tblCellMar>
                <w:left w:w="70" w:type="dxa"/>
                <w:right w:w="70" w:type="dxa"/>
              </w:tblCellMar>
              <w:tblLook w:val="0000" w:firstRow="0" w:lastRow="0" w:firstColumn="0" w:lastColumn="0" w:noHBand="0" w:noVBand="0"/>
            </w:tblPr>
            <w:tblGrid>
              <w:gridCol w:w="4868"/>
              <w:gridCol w:w="1997"/>
              <w:gridCol w:w="1881"/>
            </w:tblGrid>
            <w:tr w:rsidR="00CF565F" w:rsidTr="00B11385">
              <w:tc>
                <w:tcPr>
                  <w:tcW w:w="8746" w:type="dxa"/>
                  <w:gridSpan w:val="3"/>
                  <w:tcBorders>
                    <w:top w:val="single" w:sz="6" w:space="0" w:color="auto"/>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CONCILIACION DE FLUJOS DE EFECTIVO NETOS</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CONCEPTO</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2022</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Resultado del Ejercicio Ahorro/Desahorro</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1,952,577,336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1,477,836,083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Movimientos de partidas (o rubros) que no afectan al efectivo</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196,614,118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Depreciación</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Amortización</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Incrementos en las provisiones</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Inversiones producido por revaluación</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Ganancia/pérdida en venta de bienes muebles, inmuebles e intangibles.</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cuentas por cobrar</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196,614,118 </w:t>
                  </w:r>
                </w:p>
              </w:tc>
            </w:tr>
            <w:tr w:rsidR="00CF565F" w:rsidTr="00B11385">
              <w:tc>
                <w:tcPr>
                  <w:tcW w:w="4868" w:type="dxa"/>
                  <w:tcBorders>
                    <w:top w:val="nil"/>
                    <w:left w:val="single" w:sz="6" w:space="0" w:color="auto"/>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Flujos de Efectivo Netos de las Actividades de Operación</w:t>
                  </w:r>
                </w:p>
              </w:tc>
              <w:tc>
                <w:tcPr>
                  <w:tcW w:w="1997"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1,952,577,336</w:t>
                  </w:r>
                </w:p>
              </w:tc>
              <w:tc>
                <w:tcPr>
                  <w:tcW w:w="1881" w:type="dxa"/>
                  <w:tcBorders>
                    <w:top w:val="nil"/>
                    <w:left w:val="nil"/>
                    <w:bottom w:val="single" w:sz="6" w:space="0" w:color="auto"/>
                    <w:right w:val="single" w:sz="6" w:space="0" w:color="auto"/>
                  </w:tcBorders>
                </w:tcPr>
                <w:p w:rsidR="00CF565F" w:rsidRDefault="00CF565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1,674,450,201 </w:t>
                  </w:r>
                </w:p>
              </w:tc>
            </w:tr>
          </w:tbl>
          <w:p w:rsidR="00CF565F" w:rsidRDefault="00CF565F" w:rsidP="00CF565F">
            <w:pPr>
              <w:tabs>
                <w:tab w:val="left" w:pos="2970"/>
              </w:tabs>
              <w:autoSpaceDE w:val="0"/>
              <w:autoSpaceDN w:val="0"/>
              <w:adjustRightInd w:val="0"/>
              <w:jc w:val="both"/>
              <w:rPr>
                <w:rFonts w:ascii="Arial" w:hAnsi="Arial" w:cs="Arial"/>
                <w:lang w:eastAsia="es-MX"/>
              </w:rPr>
            </w:pPr>
          </w:p>
          <w:p w:rsidR="00B11385" w:rsidRDefault="00B11385" w:rsidP="00CF565F">
            <w:pPr>
              <w:tabs>
                <w:tab w:val="left" w:pos="2970"/>
              </w:tabs>
              <w:autoSpaceDE w:val="0"/>
              <w:autoSpaceDN w:val="0"/>
              <w:adjustRightInd w:val="0"/>
              <w:jc w:val="both"/>
              <w:rPr>
                <w:rFonts w:ascii="Arial" w:hAnsi="Arial" w:cs="Arial"/>
                <w:lang w:eastAsia="es-MX"/>
              </w:rPr>
            </w:pPr>
          </w:p>
          <w:p w:rsidR="00CF565F" w:rsidRDefault="00CF565F" w:rsidP="00CF565F">
            <w:pPr>
              <w:tabs>
                <w:tab w:val="left" w:pos="2970"/>
              </w:tabs>
              <w:autoSpaceDE w:val="0"/>
              <w:autoSpaceDN w:val="0"/>
              <w:adjustRightInd w:val="0"/>
              <w:ind w:left="1146" w:hanging="720"/>
              <w:jc w:val="both"/>
              <w:rPr>
                <w:rFonts w:ascii="Arial" w:hAnsi="Arial" w:cs="Arial"/>
                <w:b/>
                <w:bCs/>
                <w:lang w:eastAsia="es-MX"/>
              </w:rPr>
            </w:pPr>
            <w:r>
              <w:rPr>
                <w:rFonts w:ascii="Arial" w:hAnsi="Arial" w:cs="Arial"/>
                <w:b/>
                <w:bCs/>
                <w:lang w:eastAsia="es-MX"/>
              </w:rPr>
              <w:lastRenderedPageBreak/>
              <w:t>V)</w:t>
            </w:r>
            <w:r>
              <w:rPr>
                <w:rFonts w:ascii="Arial" w:hAnsi="Arial" w:cs="Arial"/>
                <w:b/>
                <w:bCs/>
                <w:lang w:eastAsia="es-MX"/>
              </w:rPr>
              <w:tab/>
              <w:t>CONCILIACION ENTRE LOS INGRESOS PRESUPUESTARIOS Y CONTABLES, ASI COMO ENTRE LOS EGRESOS PRESUPUESTARIOS Y LOS GASTOS CONTABLES</w:t>
            </w:r>
          </w:p>
          <w:p w:rsidR="00CF565F" w:rsidRDefault="00CF565F" w:rsidP="00CF565F">
            <w:pPr>
              <w:tabs>
                <w:tab w:val="left" w:pos="2970"/>
              </w:tabs>
              <w:autoSpaceDE w:val="0"/>
              <w:autoSpaceDN w:val="0"/>
              <w:adjustRightInd w:val="0"/>
              <w:jc w:val="both"/>
              <w:rPr>
                <w:rFonts w:ascii="Arial" w:hAnsi="Arial" w:cs="Arial"/>
                <w:b/>
                <w:bCs/>
                <w:lang w:eastAsia="es-MX"/>
              </w:rPr>
            </w:pPr>
          </w:p>
          <w:p w:rsidR="00CF565F" w:rsidRDefault="00CF565F" w:rsidP="00B11385">
            <w:pPr>
              <w:tabs>
                <w:tab w:val="left" w:pos="2970"/>
              </w:tabs>
              <w:autoSpaceDE w:val="0"/>
              <w:autoSpaceDN w:val="0"/>
              <w:adjustRightInd w:val="0"/>
              <w:jc w:val="both"/>
              <w:rPr>
                <w:rFonts w:ascii="Arial" w:hAnsi="Arial" w:cs="Arial"/>
                <w:b/>
                <w:bCs/>
                <w:lang w:eastAsia="es-MX"/>
              </w:rPr>
            </w:pPr>
            <w:r>
              <w:rPr>
                <w:rFonts w:ascii="Arial" w:hAnsi="Arial" w:cs="Arial"/>
                <w:lang w:eastAsia="es-MX"/>
              </w:rPr>
              <w:t xml:space="preserve">La conciliación se presentará atendiendo a lo dispuesto por el </w:t>
            </w:r>
            <w:r>
              <w:rPr>
                <w:rFonts w:ascii="Arial" w:hAnsi="Arial" w:cs="Arial"/>
                <w:b/>
                <w:bCs/>
                <w:lang w:eastAsia="es-MX"/>
              </w:rPr>
              <w:t xml:space="preserve">“Acuerdo por el que se emite el formato entre los ingresos presupuestarios y contables, así como entre los egresos presupuestarios y los gastos contables” </w:t>
            </w:r>
            <w:r>
              <w:rPr>
                <w:rFonts w:ascii="Arial" w:hAnsi="Arial" w:cs="Arial"/>
                <w:lang w:eastAsia="es-MX"/>
              </w:rPr>
              <w:t xml:space="preserve">y sus modificaciones. </w:t>
            </w:r>
          </w:p>
          <w:p w:rsidR="00CF565F" w:rsidRDefault="00CF565F" w:rsidP="00CF565F">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1385" w:rsidRDefault="00B11385">
      <w:pPr>
        <w:rPr>
          <w:rFonts w:ascii="Arial" w:hAnsi="Arial" w:cs="Arial"/>
        </w:rPr>
      </w:pPr>
    </w:p>
    <w:p w:rsidR="00B157EC" w:rsidRDefault="00B157EC">
      <w:pPr>
        <w:rPr>
          <w:rFonts w:ascii="Arial" w:hAnsi="Arial" w:cs="Arial"/>
        </w:rPr>
      </w:pPr>
    </w:p>
    <w:p w:rsidR="00B11385" w:rsidRDefault="00B11385">
      <w:pPr>
        <w:rPr>
          <w:rFonts w:ascii="Arial" w:hAnsi="Arial" w:cs="Arial"/>
        </w:rPr>
      </w:pPr>
    </w:p>
    <w:p w:rsidR="00B11385" w:rsidRDefault="00B11385">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425DF0" w:rsidRPr="00B11385" w:rsidTr="00FC59DA">
        <w:trPr>
          <w:jc w:val="center"/>
        </w:trPr>
        <w:tc>
          <w:tcPr>
            <w:tcW w:w="3794" w:type="dxa"/>
            <w:shd w:val="clear" w:color="auto" w:fill="auto"/>
          </w:tcPr>
          <w:p w:rsidR="00FC59DA" w:rsidRPr="00B11385" w:rsidRDefault="007E4F17" w:rsidP="00FC59DA">
            <w:pPr>
              <w:tabs>
                <w:tab w:val="center" w:pos="1789"/>
              </w:tabs>
              <w:rPr>
                <w:rFonts w:ascii="Arial" w:hAnsi="Arial" w:cs="Arial"/>
                <w:b/>
                <w:sz w:val="18"/>
              </w:rPr>
            </w:pPr>
            <w:r w:rsidRPr="00B11385">
              <w:rPr>
                <w:rFonts w:ascii="Arial" w:hAnsi="Arial" w:cs="Arial"/>
                <w:b/>
                <w:noProof/>
                <w:sz w:val="18"/>
                <w:lang w:eastAsia="es-MX"/>
              </w:rPr>
              <mc:AlternateContent>
                <mc:Choice Requires="wps">
                  <w:drawing>
                    <wp:anchor distT="0" distB="0" distL="114300" distR="114300" simplePos="0" relativeHeight="251657216" behindDoc="0" locked="0" layoutInCell="1" allowOverlap="1" wp14:anchorId="64C79A1C" wp14:editId="587011DE">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sidRPr="00B11385">
              <w:rPr>
                <w:rFonts w:ascii="Arial" w:hAnsi="Arial" w:cs="Arial"/>
                <w:b/>
                <w:sz w:val="18"/>
              </w:rPr>
              <w:tab/>
            </w:r>
          </w:p>
        </w:tc>
        <w:tc>
          <w:tcPr>
            <w:tcW w:w="1276" w:type="dxa"/>
            <w:shd w:val="clear" w:color="auto" w:fill="auto"/>
          </w:tcPr>
          <w:p w:rsidR="00425DF0" w:rsidRPr="00B11385" w:rsidRDefault="00425DF0" w:rsidP="00B157EC">
            <w:pPr>
              <w:rPr>
                <w:rFonts w:ascii="Arial" w:hAnsi="Arial" w:cs="Arial"/>
                <w:b/>
                <w:sz w:val="18"/>
              </w:rPr>
            </w:pPr>
          </w:p>
        </w:tc>
        <w:tc>
          <w:tcPr>
            <w:tcW w:w="3908" w:type="dxa"/>
            <w:shd w:val="clear" w:color="auto" w:fill="auto"/>
          </w:tcPr>
          <w:p w:rsidR="00425DF0" w:rsidRPr="00B11385" w:rsidRDefault="007E4F17" w:rsidP="005B33F8">
            <w:pPr>
              <w:tabs>
                <w:tab w:val="center" w:pos="1846"/>
              </w:tabs>
              <w:rPr>
                <w:rFonts w:ascii="Arial" w:hAnsi="Arial" w:cs="Arial"/>
                <w:b/>
                <w:sz w:val="18"/>
              </w:rPr>
            </w:pPr>
            <w:r w:rsidRPr="00B11385">
              <w:rPr>
                <w:rFonts w:ascii="Arial" w:hAnsi="Arial" w:cs="Arial"/>
                <w:b/>
                <w:noProof/>
                <w:sz w:val="18"/>
                <w:lang w:eastAsia="es-MX"/>
              </w:rPr>
              <mc:AlternateContent>
                <mc:Choice Requires="wps">
                  <w:drawing>
                    <wp:anchor distT="0" distB="0" distL="114300" distR="114300" simplePos="0" relativeHeight="251658240" behindDoc="0" locked="0" layoutInCell="1" allowOverlap="1" wp14:anchorId="5E6A5F7E" wp14:editId="31DE498E">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sidRPr="00B11385">
              <w:rPr>
                <w:rFonts w:ascii="Arial" w:hAnsi="Arial" w:cs="Arial"/>
                <w:b/>
                <w:sz w:val="18"/>
              </w:rPr>
              <w:tab/>
            </w:r>
          </w:p>
        </w:tc>
      </w:tr>
      <w:tr w:rsidR="00425DF0" w:rsidRPr="00B11385" w:rsidTr="00FC59DA">
        <w:trPr>
          <w:jc w:val="center"/>
        </w:trPr>
        <w:tc>
          <w:tcPr>
            <w:tcW w:w="3794" w:type="dxa"/>
            <w:shd w:val="clear" w:color="auto" w:fill="auto"/>
          </w:tcPr>
          <w:p w:rsidR="00425DF0" w:rsidRPr="00B11385" w:rsidRDefault="00CF565F" w:rsidP="004073AF">
            <w:pPr>
              <w:jc w:val="center"/>
              <w:rPr>
                <w:rFonts w:ascii="Arial" w:hAnsi="Arial" w:cs="Arial"/>
                <w:b/>
                <w:sz w:val="18"/>
              </w:rPr>
            </w:pPr>
            <w:bookmarkStart w:id="4" w:name="firma1"/>
            <w:bookmarkEnd w:id="4"/>
            <w:r w:rsidRPr="00B11385">
              <w:rPr>
                <w:rFonts w:ascii="Arial" w:hAnsi="Arial" w:cs="Arial"/>
                <w:b/>
                <w:sz w:val="18"/>
              </w:rPr>
              <w:t>L.A.E. JESUS PABLO LEMUS NAVARRO</w:t>
            </w:r>
          </w:p>
          <w:p w:rsidR="00425DF0" w:rsidRPr="00B11385" w:rsidRDefault="00CF565F" w:rsidP="00F13D94">
            <w:pPr>
              <w:jc w:val="center"/>
              <w:rPr>
                <w:rFonts w:ascii="Arial" w:hAnsi="Arial" w:cs="Arial"/>
                <w:b/>
                <w:sz w:val="18"/>
              </w:rPr>
            </w:pPr>
            <w:bookmarkStart w:id="5" w:name="Cargo1"/>
            <w:bookmarkEnd w:id="5"/>
            <w:r w:rsidRPr="00B11385">
              <w:rPr>
                <w:rFonts w:ascii="Arial" w:hAnsi="Arial" w:cs="Arial"/>
                <w:b/>
                <w:sz w:val="18"/>
              </w:rPr>
              <w:t>PRESIDENTE MUNICIPAL</w:t>
            </w:r>
          </w:p>
        </w:tc>
        <w:tc>
          <w:tcPr>
            <w:tcW w:w="1276" w:type="dxa"/>
            <w:shd w:val="clear" w:color="auto" w:fill="auto"/>
          </w:tcPr>
          <w:p w:rsidR="00425DF0" w:rsidRPr="00B11385" w:rsidRDefault="00425DF0" w:rsidP="00B157EC">
            <w:pPr>
              <w:rPr>
                <w:rFonts w:ascii="Arial" w:hAnsi="Arial" w:cs="Arial"/>
                <w:b/>
                <w:sz w:val="18"/>
              </w:rPr>
            </w:pPr>
          </w:p>
        </w:tc>
        <w:tc>
          <w:tcPr>
            <w:tcW w:w="3908" w:type="dxa"/>
            <w:shd w:val="clear" w:color="auto" w:fill="auto"/>
          </w:tcPr>
          <w:p w:rsidR="00425DF0" w:rsidRPr="00B11385" w:rsidRDefault="00CF565F" w:rsidP="00BA7910">
            <w:pPr>
              <w:jc w:val="center"/>
              <w:rPr>
                <w:rFonts w:ascii="Arial" w:hAnsi="Arial" w:cs="Arial"/>
                <w:b/>
                <w:sz w:val="18"/>
              </w:rPr>
            </w:pPr>
            <w:bookmarkStart w:id="6" w:name="firma2"/>
            <w:bookmarkEnd w:id="6"/>
            <w:r w:rsidRPr="00B11385">
              <w:rPr>
                <w:rFonts w:ascii="Arial" w:hAnsi="Arial" w:cs="Arial"/>
                <w:b/>
                <w:sz w:val="18"/>
              </w:rPr>
              <w:t>MTRO. LUIS GARCÌA SOTELO</w:t>
            </w:r>
          </w:p>
          <w:p w:rsidR="001F0913" w:rsidRPr="00B11385" w:rsidRDefault="00CF565F" w:rsidP="00054D51">
            <w:pPr>
              <w:jc w:val="center"/>
              <w:rPr>
                <w:rFonts w:ascii="Arial" w:hAnsi="Arial" w:cs="Arial"/>
                <w:b/>
                <w:sz w:val="18"/>
              </w:rPr>
            </w:pPr>
            <w:bookmarkStart w:id="7" w:name="Cargo2"/>
            <w:bookmarkEnd w:id="7"/>
            <w:r w:rsidRPr="00B11385">
              <w:rPr>
                <w:rFonts w:ascii="Arial" w:hAnsi="Arial" w:cs="Arial"/>
                <w:b/>
                <w:sz w:val="18"/>
              </w:rPr>
              <w:t>TESORERO MUNICIPAL</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78"/>
      </w:tblGrid>
      <w:tr w:rsidR="00721735" w:rsidRPr="00721735" w:rsidTr="003F7AB9">
        <w:tc>
          <w:tcPr>
            <w:tcW w:w="8978" w:type="dxa"/>
            <w:shd w:val="clear" w:color="auto" w:fill="auto"/>
          </w:tcPr>
          <w:p w:rsidR="00721735" w:rsidRPr="00721735" w:rsidRDefault="00CF565F" w:rsidP="00523D61">
            <w:pPr>
              <w:jc w:val="center"/>
              <w:rPr>
                <w:rFonts w:ascii="C39HrP24DhTt" w:hAnsi="C39HrP24DhTt" w:cs="Arial"/>
                <w:sz w:val="44"/>
                <w:szCs w:val="44"/>
              </w:rPr>
            </w:pPr>
            <w:bookmarkStart w:id="8" w:name="codigo"/>
            <w:bookmarkEnd w:id="8"/>
            <w:r>
              <w:rPr>
                <w:rFonts w:ascii="C39HrP24DhTt" w:hAnsi="C39HrP24DhTt" w:cs="Arial"/>
                <w:sz w:val="44"/>
                <w:szCs w:val="44"/>
              </w:rPr>
              <w:t>ASEJ2023-14-19-07-2023-1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variable"/>
    <w:sig w:usb0="00000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7E677C"/>
    <w:rsid w:val="00806603"/>
    <w:rsid w:val="00A45E83"/>
    <w:rsid w:val="00B11385"/>
    <w:rsid w:val="00B157EC"/>
    <w:rsid w:val="00B35761"/>
    <w:rsid w:val="00BA7910"/>
    <w:rsid w:val="00CD584F"/>
    <w:rsid w:val="00CF565F"/>
    <w:rsid w:val="00D2796E"/>
    <w:rsid w:val="00D355E0"/>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5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65F"/>
    <w:rPr>
      <w:rFonts w:ascii="Tahoma" w:hAnsi="Tahoma" w:cs="Tahoma"/>
      <w:sz w:val="16"/>
      <w:szCs w:val="16"/>
      <w:lang w:eastAsia="en-US"/>
    </w:rPr>
  </w:style>
  <w:style w:type="paragraph" w:styleId="Sinespaciado">
    <w:name w:val="No Spacing"/>
    <w:uiPriority w:val="1"/>
    <w:qFormat/>
    <w:rsid w:val="007E67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5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65F"/>
    <w:rPr>
      <w:rFonts w:ascii="Tahoma" w:hAnsi="Tahoma" w:cs="Tahoma"/>
      <w:sz w:val="16"/>
      <w:szCs w:val="16"/>
      <w:lang w:eastAsia="en-US"/>
    </w:rPr>
  </w:style>
  <w:style w:type="paragraph" w:styleId="Sinespaciado">
    <w:name w:val="No Spacing"/>
    <w:uiPriority w:val="1"/>
    <w:qFormat/>
    <w:rsid w:val="007E67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7</cp:revision>
  <dcterms:created xsi:type="dcterms:W3CDTF">2020-05-27T16:02:00Z</dcterms:created>
  <dcterms:modified xsi:type="dcterms:W3CDTF">2023-07-20T16:50:00Z</dcterms:modified>
</cp:coreProperties>
</file>