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18" w:rsidRDefault="00325D18">
      <w:bookmarkStart w:id="0" w:name="_GoBack"/>
      <w:bookmarkEnd w:id="0"/>
    </w:p>
    <w:p w:rsidR="00325D18" w:rsidRDefault="00325D18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2539</wp:posOffset>
            </wp:positionV>
            <wp:extent cx="495300" cy="581439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36" cy="58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600"/>
        <w:gridCol w:w="2152"/>
        <w:gridCol w:w="142"/>
        <w:gridCol w:w="26"/>
        <w:gridCol w:w="3940"/>
      </w:tblGrid>
      <w:tr w:rsidR="00D92A0A" w:rsidRPr="00D92A0A" w:rsidTr="00D92A0A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 DE GUADALAJARA</w:t>
            </w:r>
          </w:p>
        </w:tc>
      </w:tr>
      <w:tr w:rsidR="00D92A0A" w:rsidRPr="00D92A0A" w:rsidTr="00D92A0A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NOTAS A LOS ESTADOS FINANCIEROS </w:t>
            </w:r>
          </w:p>
        </w:tc>
      </w:tr>
      <w:tr w:rsidR="00D92A0A" w:rsidRPr="00D92A0A" w:rsidTr="00D92A0A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 30 de Septiembre de 2021</w:t>
            </w:r>
          </w:p>
        </w:tc>
      </w:tr>
      <w:tr w:rsidR="00D92A0A" w:rsidRPr="00D92A0A" w:rsidTr="00D92A0A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Cifras en pesos mexicanos</w:t>
            </w:r>
          </w:p>
        </w:tc>
      </w:tr>
      <w:tr w:rsidR="00D92A0A" w:rsidRPr="00D92A0A" w:rsidTr="00D92A0A">
        <w:trPr>
          <w:trHeight w:val="8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NOTAS DE DESGLOSE</w:t>
            </w:r>
          </w:p>
        </w:tc>
      </w:tr>
      <w:tr w:rsidR="00D92A0A" w:rsidRPr="00D92A0A" w:rsidTr="00D92A0A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I) Notas al Estado de Situación Financiera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85158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58A" w:rsidRDefault="0085158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92A0A" w:rsidRPr="00D92A0A" w:rsidRDefault="0085158A" w:rsidP="00A8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5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virtud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 las Disposiciones de la Ley General de Contabilidad Gubernamental se presentan las notas de desglose a los Estados Financieros con las siguientes cifras al 30 de </w:t>
            </w:r>
            <w:r w:rsidR="00A810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Septiembre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2021</w:t>
            </w:r>
            <w:r w:rsidR="00A81018">
              <w:rPr>
                <w:rFonts w:ascii="Arial" w:eastAsia="Times New Roman" w:hAnsi="Arial" w:cs="Arial"/>
                <w:color w:val="000000"/>
                <w:lang w:eastAsia="es-MX"/>
              </w:rPr>
              <w:t>:</w:t>
            </w:r>
          </w:p>
        </w:tc>
      </w:tr>
      <w:tr w:rsidR="00D92A0A" w:rsidRPr="00D92A0A" w:rsidTr="0085158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92A0A" w:rsidRPr="00D92A0A" w:rsidTr="00D92A0A">
        <w:trPr>
          <w:trHeight w:val="1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Activo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Efectivo y Equivalentes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Su importe se analiza a continuación: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Efectivo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463,879 </w:t>
            </w: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Bancos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442,423,330 </w:t>
            </w:r>
          </w:p>
        </w:tc>
      </w:tr>
      <w:tr w:rsidR="00D92A0A" w:rsidRPr="00D92A0A" w:rsidTr="00D92A0A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Inversiones Temporales (Hasta 3 meses)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118,165,479 </w:t>
            </w:r>
          </w:p>
        </w:tc>
      </w:tr>
      <w:tr w:rsidR="00D92A0A" w:rsidRPr="00D92A0A" w:rsidTr="00D92A0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Fondos con Afectación Específica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138,010 </w:t>
            </w:r>
          </w:p>
        </w:tc>
      </w:tr>
      <w:tr w:rsidR="00D92A0A" w:rsidRPr="00D92A0A" w:rsidTr="00D92A0A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Depósitos de Fondos de terceros en Garantía y/o ad.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15,276,547 </w:t>
            </w:r>
          </w:p>
        </w:tc>
      </w:tr>
      <w:tr w:rsidR="00D92A0A" w:rsidRPr="00D92A0A" w:rsidTr="00D92A0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efectivos y equivalentes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80,868 </w:t>
            </w:r>
          </w:p>
        </w:tc>
      </w:tr>
      <w:tr w:rsidR="00D92A0A" w:rsidRPr="00D92A0A" w:rsidTr="00D92A0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de Efectivo y equivalentes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576,548,113 </w:t>
            </w:r>
          </w:p>
        </w:tc>
      </w:tr>
      <w:tr w:rsidR="00D92A0A" w:rsidRPr="00D92A0A" w:rsidTr="00D92A0A">
        <w:trPr>
          <w:trHeight w:val="12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 a corto plazo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Comprende lo siguiente: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Cuentas Por Cobrar a Corto Plazo  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4,089,431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Cheques devueltos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172,524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Cuentas por cobrar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-$                                                   5,738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Programa apoyo a Comerciantes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1,679,600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CXC por transferencias erróneas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317,994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CXC A SEPAF por Participaciones                                                                                             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1,638,537 </w:t>
            </w:r>
          </w:p>
        </w:tc>
      </w:tr>
      <w:tr w:rsidR="00D92A0A" w:rsidRPr="00D92A0A" w:rsidTr="00D92A0A">
        <w:trPr>
          <w:trHeight w:val="25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Cuentas por cobrar - Recaudación por terceros 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256,277 </w:t>
            </w:r>
          </w:p>
        </w:tc>
      </w:tr>
      <w:tr w:rsidR="00D92A0A" w:rsidRPr="00D92A0A" w:rsidTr="00D92A0A">
        <w:trPr>
          <w:trHeight w:val="25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Cuentas por cobrar contratos o convenio                                                                          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34,137 </w:t>
            </w:r>
          </w:p>
        </w:tc>
      </w:tr>
      <w:tr w:rsidR="00D92A0A" w:rsidRPr="00D92A0A" w:rsidTr="00D92A0A">
        <w:trPr>
          <w:trHeight w:val="25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CXC por Recursos Monetarios Federales Robados Ex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-$                                                        16 </w:t>
            </w:r>
          </w:p>
        </w:tc>
      </w:tr>
      <w:tr w:rsidR="00D92A0A" w:rsidRPr="00D92A0A" w:rsidTr="00D92A0A">
        <w:trPr>
          <w:trHeight w:val="25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CXC a Instituciones Bancarias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-$                                                   3,884 </w:t>
            </w:r>
          </w:p>
        </w:tc>
      </w:tr>
      <w:tr w:rsidR="00D92A0A" w:rsidRPr="00D92A0A" w:rsidTr="00D92A0A">
        <w:trPr>
          <w:trHeight w:val="14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Deudores Diversos Por Cobrar a Corto Plazo 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7,750,986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Contratistas Mercado Corona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   -  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COMUDE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   -  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Desarrollo Integral de la Familia                                       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2,895,265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Otros Deudores Diversos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4,855,720 </w:t>
            </w:r>
          </w:p>
        </w:tc>
      </w:tr>
      <w:tr w:rsidR="00D92A0A" w:rsidRPr="00D92A0A" w:rsidTr="00D92A0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Ingresos por recuperar a Corto plazo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5,491,117 </w:t>
            </w:r>
          </w:p>
        </w:tc>
      </w:tr>
      <w:tr w:rsidR="00D92A0A" w:rsidRPr="00D92A0A" w:rsidTr="00D92A0A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Deudores por anticipos de tesorería a corto plazo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       206,316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de derechos a recibir efectivo o equivalentes circulante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594,085,964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El Activo no Circulante comprende lo siguiente: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Inversiones Financieras a largo plazo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saldo al 30 de Septiembre de 2021, principalmente, comprende las aportaciones realizadas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ejercicios anteriores, a los fideicomisos que se mencionan a continuación, así como las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operaciones realizadas de conformidad con su objeto: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11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Fideicomiso Fondo Guadalajara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8,000,000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Fideicomiso Expo-Guadalajara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142,155,866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Fideicomiso 1555 </w:t>
            </w:r>
            <w:proofErr w:type="spellStart"/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invex</w:t>
            </w:r>
            <w:proofErr w:type="spellEnd"/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32,350,087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Fideicomiso 437-2 Banco </w:t>
            </w:r>
            <w:proofErr w:type="spellStart"/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Multiva</w:t>
            </w:r>
            <w:proofErr w:type="spellEnd"/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SA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77,294,668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Fideicomiso Bancomer 403248-8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22,119,375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Fideicomiso Fondo Guadalajara(Programa cuidemos tu empleo)</w:t>
            </w:r>
          </w:p>
        </w:tc>
        <w:tc>
          <w:tcPr>
            <w:tcW w:w="4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8,859,408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290,779,403 </w:t>
            </w:r>
          </w:p>
        </w:tc>
      </w:tr>
      <w:tr w:rsidR="00D92A0A" w:rsidRPr="00D92A0A" w:rsidTr="00D92A0A">
        <w:trPr>
          <w:trHeight w:val="19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Inmuebles, Infraestructura y Construcciones en Proceso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importe de estos bienes al 30 de Septiembre de 2021, se desglosa a continuación: </w:t>
            </w:r>
          </w:p>
        </w:tc>
      </w:tr>
      <w:tr w:rsidR="00D92A0A" w:rsidRPr="00D92A0A" w:rsidTr="00D92A0A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Terrenos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389,839,743 </w:t>
            </w:r>
          </w:p>
        </w:tc>
      </w:tr>
      <w:tr w:rsidR="00D92A0A" w:rsidRPr="00D92A0A" w:rsidTr="00D92A0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Edificios no habitacionales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1,297,424,423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Oficinas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1,120,332,788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Mercados Municipales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177,091,635 </w:t>
            </w: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Infraestructura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3,940,485,680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Edificación no Habitacional en Proceso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92,004,081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División de Terrenos y Construcción de Obras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1,539,872,537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Construcción de Vías de Comunicación en Proceso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1,117,191,885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Otras Construcciones de Ingeniería Civil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404,850,276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Equipamiento en Construcciones en Procesos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14,268,090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Trabajo en Edificaciones y Otros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12,266,490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Edificaciones en Proceso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505,605,963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222,709,139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Estudios Formulación y Evaluación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31,617,419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Otros activos Diferidos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99,800 </w:t>
            </w:r>
          </w:p>
        </w:tc>
      </w:tr>
      <w:tr w:rsidR="00D92A0A" w:rsidRPr="00D92A0A" w:rsidTr="00D92A0A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Construcciones en proceso de bienes de dominio público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2,350,668,825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Edificación Habitacional en Proceso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10,408,076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Edificación no Habitacional en Proceso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1,131,701,285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Construcción de Obras para el Abastecimiento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179,998,210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División de Terrenos y Construcción de Obras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211,786,492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Construcción de Vías de Comunicación en Proceso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640,314,556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Otras Construcciones de Ingeniería Civil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142,291,003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Trabajos de Acabados en Edificaciones y Otros 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34,169,204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239,863,975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Su saldo se integra como sigue: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Muebles de Oficina y Estantería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84,192,904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Muebles, Excepto de Oficina y Estantería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4,281,216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Equipo de Cómputo y de TI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293,154,317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Otros Mobiliarios y Equipos de Administración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39,393,080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Mobiliario y equipo educacional y recreativo 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101,027,385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Equipo e instrumental médico y de laboratorio 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73,195,744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Equipo de transporte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712,765,483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Equipo de defensa y seguridad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95,804,700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Colecciones, obras de arte y objetos valiosos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29,273,238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Activos biológicos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1,233,136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Maquinaria, otros equipos y herramienta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415,342,569 </w:t>
            </w:r>
          </w:p>
        </w:tc>
      </w:tr>
      <w:tr w:rsidR="00D92A0A" w:rsidRPr="00D92A0A" w:rsidTr="00D92A0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de bienes muebles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1,849,663,773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Estimaciones y Deterioros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No se tiene identificadas causas de deterioro que afecten el valor de los activos </w:t>
            </w:r>
          </w:p>
        </w:tc>
      </w:tr>
      <w:tr w:rsidR="00D92A0A" w:rsidRPr="00D92A0A" w:rsidTr="00D92A0A">
        <w:trPr>
          <w:trHeight w:val="285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reconocidos contablemente, que son propiedad del Municipio.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Activos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Su importe se refiere, principalmente, a cierto software adquirido por el Municipio y a los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derechos pagados por el registro de la patente de la mascota oficial de los Juegos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Panamericanos 2011.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Software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65,725,250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Concesiones y Franquicias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45,538,684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Licencias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5,121,822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Patentes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15,256,513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Otros activos intangibles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7,563,740 </w:t>
            </w: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Total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139,206,009 </w:t>
            </w: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Pasivo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Cuentas y documentos por pagar a corto plazo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Las cuentas y documentos por pagar a corto plazo, al 30 de Septiembre de 2021 se integran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como sigue: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Servicios personales por pagar a corto plazo 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8,989,951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Proveedores por pagar a corto plazo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67,743,864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Contratistas por obras públicas por pagar a corto plazo 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6,575,798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Transferencias otorgadas por pagar a Corto Plazo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62,875,771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Intereses y comisiones y otros gastos de la deuda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        -  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Retenciones y contribuciones por pagar a corto plazo 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29,275,006 </w:t>
            </w:r>
          </w:p>
        </w:tc>
      </w:tr>
      <w:tr w:rsidR="00D92A0A" w:rsidRPr="00D92A0A" w:rsidTr="00D92A0A">
        <w:trPr>
          <w:trHeight w:val="28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Devolución de la Ley de ingresos por pagar a CP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     64,254 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Otras cuentas por pagar a corto plazo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                 8,831,326 </w:t>
            </w:r>
          </w:p>
        </w:tc>
      </w:tr>
      <w:tr w:rsidR="00D92A0A" w:rsidRPr="00D92A0A" w:rsidTr="00D92A0A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cuentas y documentos por pagar a corto plazo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                                        184,355,970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tiene detectadas ciertas situaciones que derivaron en el registro contable de pasivos </w:t>
            </w:r>
          </w:p>
        </w:tc>
      </w:tr>
      <w:tr w:rsidR="00D92A0A" w:rsidRPr="00D92A0A" w:rsidTr="00D92A0A">
        <w:trPr>
          <w:trHeight w:val="28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que a la fecha no son exigibles y que no han sido cuantificados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Deuda pública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Se conforma como a continuación se señala: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Institución bancaria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Corto plazo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Largo plazo</w:t>
            </w:r>
          </w:p>
        </w:tc>
        <w:tc>
          <w:tcPr>
            <w:tcW w:w="3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Total </w:t>
            </w:r>
          </w:p>
        </w:tc>
      </w:tr>
      <w:tr w:rsidR="00D92A0A" w:rsidRPr="00D92A0A" w:rsidTr="00D92A0A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 largo plazo: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BBVA Bancomer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26,584,786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846,301,284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$                                   872,886,069.85</w:t>
            </w:r>
          </w:p>
        </w:tc>
      </w:tr>
      <w:tr w:rsidR="00D92A0A" w:rsidRPr="00D92A0A" w:rsidTr="00D92A0A">
        <w:trPr>
          <w:trHeight w:val="5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Banco Mercantil del Norte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15,277,775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555,092,695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$                                   570,370,469.52</w:t>
            </w:r>
          </w:p>
        </w:tc>
      </w:tr>
      <w:tr w:rsidR="00D92A0A" w:rsidRPr="00D92A0A" w:rsidTr="00D92A0A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41,862,561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1,401,393,979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                                1,443,256,539.37</w:t>
            </w: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A  partir  de  septiembre  de 2017, fue  pactado  con  BBVA Bancomer,  la reducción  de la tasa de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interés  para  quedar  en  TIIE+1.09   puntos  porcentuales,  así   como el  compromiso  que  recae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en el Fondo General de Participaciones para afectar sólo el 20%. Para garantizar el pago oportuno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de la  deuda , se constituyó un fideicomiso irrevocable de administración y medio de pago, a través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del  cual  se  liquidan  las  obligaciones   del  Municipio y en  el  que  el  banco  mencionado  es  el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fideicomisario en primer lugar. Este crédito vencerá el 31 de marzo de 2028.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A  partir  de  septiembre  de 2017, fue pactado con el Banco Mercantil del Norte, la reducción de la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tasa de interés para quedar en TIIE+0.90 puntos porcentuales, así como el compromiso que recae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en el Fondo General de Participaciones para afectar sólo el 16%. Para garantizar el pago oportuno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 la  deuda,se constituyó un fideicomiso irrevocable de administración y medio de pago, a través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del  cual  se  liquidan  las  obligaciones  del  Municipio  y  en  el que  el  banco   mencionado  es  el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fideicomisario en primer lugar. Este crédito vencerá el 11 de enero de 2031.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Cabe  mencionar  que  el  registro  de  este crédito se efectuó  de  conformidad con lo establecido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en  la  Ley  de Disciplina Financiera de las Entidades Federativas y sus Municipios, así como a los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Criterios  para  la  elaboración  y  presentación  homogénea de la información  financiera  y de los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formatos a que hace referencia la Ley de Disciplina Financiera de las Entidades Federativas y los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Municipios, Formato 2 Informe Analítico de la Deuda Pública y Otros Pasivos, numerales c) y k)</w:t>
            </w: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II) Notas al Estado de Actividades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El  desglose  de  las  cuentas  de  resultados  es  a  tercer  nivel, se  proporciona  en  el  propio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Estado de Actividades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Intereses, comisiones y otros gastos de la Deuda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intereses pagados en el ejercicio por concepto de intereses de la deuda ascienden a 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$60,920,572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Ingresos excedentes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Son</w:t>
            </w: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los recursos que durante  el ejercicio fiscal se obtienen en exceso de los aprobados en la  Ley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 Ingresos  y, de conformidad con la  Ley de  Disciplina  Financiera, los derivados de ingresos de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libre disposición,se deberán destinar,al menos en un 50 por ciento, para la amortización anticipada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de la Deuda  Pública , el  pago  de  adeudos de ejercicios fiscales anteriores,pasivos circulantes y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otras  obligaciones ,  en  cuyos  contratos   se  haya   pactado  el  pago anticipado  sin   incurrir  en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penalidades  y  representen  una  disminución  del  saldo registrado  en la cuenta pública del cierre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del ejercicio inmediato anterior, así como el pago de sentencias definitivas emitidas por la autoridad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competente, la  aportación  a  fondos  para  la  atención  de  desastres  naturales  y  de  pensiones.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Dichos excedentes podrán destinarse a reducir el balance presupuestario de recursos disponibles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negativo  de  ejercicios  anteriores,  a  partir  de  la entrada  en vigor de esta Ley y hasta el ejercicio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fiscal 2022.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En caso de subsistir remanente, se aplicará a: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a) </w:t>
            </w: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Inversión pública productiva, a través de un fondo que se constituya para tal efecto, con el fin de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que  los  recursos  correspondientes se ejerzan a más tardar en el ejercicio inmediato siguiente, y</w:t>
            </w: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b) </w:t>
            </w: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La creación de un fondo cuyo objetivo sea compensar la caída de Ingresos de libre disposición</w:t>
            </w:r>
          </w:p>
        </w:tc>
      </w:tr>
      <w:tr w:rsidR="00D92A0A" w:rsidRPr="00D92A0A" w:rsidTr="00D92A0A">
        <w:trPr>
          <w:trHeight w:val="28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de ejercicios subsecuentes.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Los Ingresos excedentes derivados de Ingresos de libre disposición podrán destinarse a los rubros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mencionados  en  el  presente artículo, sin  limitación  alguna, siempre y cuando el ente público se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clasifique en un nivel de endeudamiento sostenible de acuerdo al Sistema de Alertas.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1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III) Notas al Estado de Variación en la Hacienda Pública.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El desglose de las cuentas se informa de manera agrupada acerca de las modificaciones al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patrimonio contribuido  y los recursos que modifican al patrimonio generado se proporcionan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A8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gramStart"/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en</w:t>
            </w:r>
            <w:proofErr w:type="gramEnd"/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el estado de Variación en la Hacienda Pública al </w:t>
            </w:r>
            <w:r w:rsidR="00A81018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r w:rsidR="00A810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Septiembre 2</w:t>
            </w: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02</w:t>
            </w:r>
            <w:r w:rsidR="00A81018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1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IV) Notas al Estado de Flujos de Efectivo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Efectivo y Equivalente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análisis de los Saldos inicial y final que figuran en la última parte del Estado de Flujo de Efectivo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en la cuenta de efectivo y equivalentes como sigue:</w:t>
            </w: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2021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EFECTIVO</w:t>
            </w:r>
            <w:r w:rsidR="007E17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7E17EA" w:rsidP="007E1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="00D92A0A" w:rsidRPr="00D92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463,87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7E17EA" w:rsidP="007E1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 493,865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BANCOS/TESORERIA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7E17EA" w:rsidP="007E1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442,423,330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7E1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440,720,490.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TEMPORALES (HASTA 3 MESES)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7E1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118,165,479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7E1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287,022,154.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FONDOS CON AFECTACIÓN ESPECÍFICA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7E17EA" w:rsidP="007E1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D92A0A" w:rsidRPr="00D92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138,010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7E17EA" w:rsidP="007E1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 546,904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7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DEPÓSITOS DE FONDOS DE TERCEROS EN GARANTÍA Y/O ADMINISTRACIÓN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7E17EA" w:rsidP="007E1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15,276,547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7E17EA" w:rsidP="007E1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16,471,710.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Otros Efectivos Y equivalentes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7E17EA" w:rsidP="00D92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  80,868.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7E17EA" w:rsidP="007E1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D92A0A" w:rsidRPr="00D92A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1,145,858.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 de Efectivo y equivalentes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7E17EA" w:rsidP="007E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576,548,113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0A" w:rsidRPr="00D92A0A" w:rsidRDefault="00D92A0A" w:rsidP="007E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2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746,400,981.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Bajo protesta de decir verdad declaramos que los Estados Financieros y sus Notas son </w:t>
            </w:r>
          </w:p>
        </w:tc>
      </w:tr>
      <w:tr w:rsidR="00D92A0A" w:rsidRPr="00D92A0A" w:rsidTr="00D92A0A">
        <w:trPr>
          <w:trHeight w:val="28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0A" w:rsidRPr="00D92A0A" w:rsidRDefault="00D92A0A" w:rsidP="00D92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2A0A">
              <w:rPr>
                <w:rFonts w:ascii="Arial" w:eastAsia="Times New Roman" w:hAnsi="Arial" w:cs="Arial"/>
                <w:color w:val="000000"/>
                <w:lang w:eastAsia="es-MX"/>
              </w:rPr>
              <w:t>razonablemente correctos y responsabilidad del emisor</w:t>
            </w:r>
          </w:p>
        </w:tc>
      </w:tr>
    </w:tbl>
    <w:p w:rsidR="008E4546" w:rsidRDefault="008E4546"/>
    <w:sectPr w:rsidR="008E4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34" w:rsidRDefault="00D64934" w:rsidP="00D92A0A">
      <w:pPr>
        <w:spacing w:after="0" w:line="240" w:lineRule="auto"/>
      </w:pPr>
      <w:r>
        <w:separator/>
      </w:r>
    </w:p>
  </w:endnote>
  <w:endnote w:type="continuationSeparator" w:id="0">
    <w:p w:rsidR="00D64934" w:rsidRDefault="00D64934" w:rsidP="00D9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34" w:rsidRDefault="00D64934" w:rsidP="00D92A0A">
      <w:pPr>
        <w:spacing w:after="0" w:line="240" w:lineRule="auto"/>
      </w:pPr>
      <w:r>
        <w:separator/>
      </w:r>
    </w:p>
  </w:footnote>
  <w:footnote w:type="continuationSeparator" w:id="0">
    <w:p w:rsidR="00D64934" w:rsidRDefault="00D64934" w:rsidP="00D9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0A"/>
    <w:rsid w:val="0031625D"/>
    <w:rsid w:val="00325D18"/>
    <w:rsid w:val="00450BE8"/>
    <w:rsid w:val="00671B4A"/>
    <w:rsid w:val="00701422"/>
    <w:rsid w:val="007D5597"/>
    <w:rsid w:val="007E17EA"/>
    <w:rsid w:val="0085158A"/>
    <w:rsid w:val="008E4546"/>
    <w:rsid w:val="00A81018"/>
    <w:rsid w:val="00D64934"/>
    <w:rsid w:val="00D806F8"/>
    <w:rsid w:val="00D92A0A"/>
    <w:rsid w:val="00E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A0A"/>
  </w:style>
  <w:style w:type="paragraph" w:styleId="Piedepgina">
    <w:name w:val="footer"/>
    <w:basedOn w:val="Normal"/>
    <w:link w:val="PiedepginaCar"/>
    <w:uiPriority w:val="99"/>
    <w:unhideWhenUsed/>
    <w:rsid w:val="00D9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A0A"/>
  </w:style>
  <w:style w:type="paragraph" w:styleId="Textodeglobo">
    <w:name w:val="Balloon Text"/>
    <w:basedOn w:val="Normal"/>
    <w:link w:val="TextodegloboCar"/>
    <w:uiPriority w:val="99"/>
    <w:semiHidden/>
    <w:unhideWhenUsed/>
    <w:rsid w:val="003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A0A"/>
  </w:style>
  <w:style w:type="paragraph" w:styleId="Piedepgina">
    <w:name w:val="footer"/>
    <w:basedOn w:val="Normal"/>
    <w:link w:val="PiedepginaCar"/>
    <w:uiPriority w:val="99"/>
    <w:unhideWhenUsed/>
    <w:rsid w:val="00D9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A0A"/>
  </w:style>
  <w:style w:type="paragraph" w:styleId="Textodeglobo">
    <w:name w:val="Balloon Text"/>
    <w:basedOn w:val="Normal"/>
    <w:link w:val="TextodegloboCar"/>
    <w:uiPriority w:val="99"/>
    <w:semiHidden/>
    <w:unhideWhenUsed/>
    <w:rsid w:val="003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 Moreno Sandra Carolina</dc:creator>
  <cp:lastModifiedBy>Soltero Carrillo Dora Guadalupe</cp:lastModifiedBy>
  <cp:revision>2</cp:revision>
  <cp:lastPrinted>2021-10-29T18:48:00Z</cp:lastPrinted>
  <dcterms:created xsi:type="dcterms:W3CDTF">2023-11-14T21:36:00Z</dcterms:created>
  <dcterms:modified xsi:type="dcterms:W3CDTF">2023-11-14T21:36:00Z</dcterms:modified>
</cp:coreProperties>
</file>