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26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533"/>
        <w:gridCol w:w="1242"/>
        <w:gridCol w:w="1703"/>
        <w:gridCol w:w="161"/>
        <w:gridCol w:w="3155"/>
        <w:gridCol w:w="785"/>
      </w:tblGrid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 DE GUADALAJARA</w:t>
            </w:r>
          </w:p>
        </w:tc>
      </w:tr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NOTAS A LOS ESTADOS FINANCIEROS </w:t>
            </w:r>
          </w:p>
        </w:tc>
      </w:tr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660" w:rsidRDefault="00A62660" w:rsidP="0031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A62660" w:rsidRDefault="00A62660" w:rsidP="0031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 DE GUADALAJARA</w:t>
            </w:r>
          </w:p>
          <w:p w:rsidR="00F87A6A" w:rsidRDefault="00A62660" w:rsidP="0031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TESORERIA MUNICIPAL</w:t>
            </w:r>
          </w:p>
          <w:p w:rsidR="00F87A6A" w:rsidRDefault="00F87A6A" w:rsidP="0031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31523C" w:rsidRPr="0031523C" w:rsidRDefault="0031523C" w:rsidP="0031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 30 de Junio de 2021</w:t>
            </w:r>
          </w:p>
        </w:tc>
      </w:tr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Cifras</w:t>
            </w:r>
            <w:r w:rsidR="00AA5A7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en pesos mexicanos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NOTAS DE DESGLOSE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6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I) Notas al Estado de Situación Financiera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7A6A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6A" w:rsidRPr="00F85F3A" w:rsidRDefault="00F87A6A" w:rsidP="00AA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virtud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 las Disposiciones de la Ley General de Contabilidad Gubernamental se presentan las notas de desglose a los Estados Financieros con las siguientes cifras al 30 de Junio de 2021;</w:t>
            </w:r>
          </w:p>
        </w:tc>
      </w:tr>
      <w:tr w:rsidR="00F87A6A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6A" w:rsidRPr="00F85F3A" w:rsidRDefault="00F87A6A" w:rsidP="00F8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Efectivo y Equivalentes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Su importe se analiza a continuación: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A5A75" w:rsidRPr="0031523C" w:rsidTr="00AA5A75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Efectivo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A75" w:rsidRPr="00AA5A75" w:rsidRDefault="00AA5A75" w:rsidP="00AA5A7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5A75">
              <w:rPr>
                <w:rFonts w:ascii="Arial" w:hAnsi="Arial" w:cs="Arial"/>
                <w:color w:val="000000"/>
                <w:sz w:val="20"/>
              </w:rPr>
              <w:t>$467,380</w:t>
            </w:r>
          </w:p>
        </w:tc>
      </w:tr>
      <w:tr w:rsidR="00AA5A75" w:rsidRPr="0031523C" w:rsidTr="00AA5A75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Bancos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A75" w:rsidRPr="00AA5A75" w:rsidRDefault="00AA5A75" w:rsidP="00AA5A7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5A75">
              <w:rPr>
                <w:rFonts w:ascii="Arial" w:hAnsi="Arial" w:cs="Arial"/>
                <w:color w:val="000000"/>
                <w:sz w:val="20"/>
              </w:rPr>
              <w:t>$726,779,801</w:t>
            </w:r>
          </w:p>
        </w:tc>
      </w:tr>
      <w:tr w:rsidR="00AA5A75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Inversiones Temporales (Hasta 3 meses)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AA5A75" w:rsidRDefault="00AA5A75" w:rsidP="00AA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A5A7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$                                        178,900,055 </w:t>
            </w:r>
          </w:p>
        </w:tc>
      </w:tr>
      <w:tr w:rsidR="00AA5A75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Fondos con Afectación Específica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AA5A75" w:rsidRDefault="00AA5A75" w:rsidP="00AA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A5A7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$                                               57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</w:t>
            </w:r>
            <w:r w:rsidRPr="00AA5A7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010</w:t>
            </w:r>
            <w:r w:rsidRPr="00AA5A7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A5A75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Depósitos de Fondos de terceros en Garantía y/o ad.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AA5A75" w:rsidRDefault="00AA5A75" w:rsidP="00AA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A5A7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$                                          16,458,781 </w:t>
            </w:r>
          </w:p>
        </w:tc>
      </w:tr>
      <w:tr w:rsidR="00AA5A75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efectivos y equivalentes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AA5A75" w:rsidRDefault="00AA5A75" w:rsidP="00AA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A5A7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$                                            1,147,138 </w:t>
            </w:r>
          </w:p>
        </w:tc>
      </w:tr>
      <w:tr w:rsidR="00AA5A75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Efectivo y equivalentes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31523C" w:rsidRDefault="00AA5A75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75" w:rsidRPr="00AA5A75" w:rsidRDefault="00AA5A75" w:rsidP="00AA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A5A7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$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924,328,165</w:t>
            </w:r>
            <w:r w:rsidRPr="00AA5A7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corto plazo</w:t>
            </w:r>
          </w:p>
        </w:tc>
      </w:tr>
      <w:tr w:rsidR="0031523C" w:rsidRPr="0031523C" w:rsidTr="0031523C">
        <w:trPr>
          <w:trHeight w:val="6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Comprende lo siguiente: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Cuentas Por Cobrar a Corto Plazo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2,854,803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Cheques devueltos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-$                                            1,615,910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537,702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Programa apoyo a Comerciantes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1,679,600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CXC por transferencias erróneas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318,534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CXC A SEPAF por Participaciones                                                                                          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1,638,537 </w:t>
            </w:r>
          </w:p>
        </w:tc>
      </w:tr>
      <w:tr w:rsidR="0031523C" w:rsidRPr="0031523C" w:rsidTr="0031523C">
        <w:trPr>
          <w:trHeight w:val="25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- Recaudación por terceros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254,280 </w:t>
            </w:r>
          </w:p>
        </w:tc>
      </w:tr>
      <w:tr w:rsidR="0031523C" w:rsidRPr="0031523C" w:rsidTr="0031523C">
        <w:trPr>
          <w:trHeight w:val="25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contratos o convenio                                                                       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34,137 </w:t>
            </w:r>
          </w:p>
        </w:tc>
      </w:tr>
      <w:tr w:rsidR="0031523C" w:rsidRPr="0031523C" w:rsidTr="0031523C">
        <w:trPr>
          <w:trHeight w:val="25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CXC por Recursos Monetarios Federales Robados Ex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31523C" w:rsidRPr="0031523C" w:rsidTr="0031523C">
        <w:trPr>
          <w:trHeight w:val="25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CXC a Instituciones Bancarias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7,922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Deudores Diversos Por Cobrar a Corto Plazo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AA5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</w:t>
            </w:r>
            <w:r w:rsidR="00AA5A7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8,568,828</w:t>
            </w: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Contratistas Mercado Corona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COMUDE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Desarrollo Integral de la Familia                                    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2,895,265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Otros Deudores Diversos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AA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5,6</w:t>
            </w:r>
            <w:r w:rsidR="00AA5A75">
              <w:rPr>
                <w:rFonts w:ascii="Arial" w:eastAsia="Times New Roman" w:hAnsi="Arial" w:cs="Arial"/>
                <w:color w:val="000000"/>
                <w:lang w:eastAsia="es-MX"/>
              </w:rPr>
              <w:t>73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AA5A75">
              <w:rPr>
                <w:rFonts w:ascii="Arial" w:eastAsia="Times New Roman" w:hAnsi="Arial" w:cs="Arial"/>
                <w:color w:val="000000"/>
                <w:lang w:eastAsia="es-MX"/>
              </w:rPr>
              <w:t>563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Ingresos por recuperar a Corto plazo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5,786,383 </w:t>
            </w:r>
          </w:p>
        </w:tc>
      </w:tr>
      <w:tr w:rsidR="0031523C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Deudores por anticipos de tesorería a corto plazo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   200,935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derechos a recibir efectivo o equivalentes circulante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AA5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</w:t>
            </w:r>
            <w:r w:rsidR="00AA5A7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941,739,114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Activo no Circulante comprende lo siguiente: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Inversiones Financieras a largo plazo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saldo al 30 de Junio de 2021, principalmente, comprende las aportaciones realizadas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ejercicios anteriores, a los fideicomisos que se mencionan a continuación, así como las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operaciones realizadas de conformidad con su objeto: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Fideicomiso Fondo Guadalajara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8,000,000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Fideicomiso Expo-Guadalajara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142,155,866 </w:t>
            </w:r>
          </w:p>
        </w:tc>
      </w:tr>
      <w:tr w:rsidR="00AA5A75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Fideicomiso Fondo Guadalajara (cuidemos tu empleo)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A75" w:rsidRPr="0031523C" w:rsidRDefault="00AA5A75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</w:t>
            </w:r>
            <w:r w:rsidR="0024548A">
              <w:rPr>
                <w:rFonts w:ascii="Arial" w:eastAsia="Times New Roman" w:hAnsi="Arial" w:cs="Arial"/>
                <w:color w:val="000000"/>
                <w:lang w:eastAsia="es-MX"/>
              </w:rPr>
              <w:t>14,830,000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Fideicomiso 1555 </w:t>
            </w:r>
            <w:proofErr w:type="spellStart"/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invex</w:t>
            </w:r>
            <w:proofErr w:type="spellEnd"/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</w:t>
            </w:r>
            <w:r w:rsidR="0024548A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 13,487,646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Fideicomiso 437-2 Banco Multiva SA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3C" w:rsidRPr="0031523C" w:rsidRDefault="0031523C" w:rsidP="00245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</w:t>
            </w:r>
            <w:r w:rsidR="0024548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24548A">
              <w:rPr>
                <w:rFonts w:ascii="Arial" w:eastAsia="Times New Roman" w:hAnsi="Arial" w:cs="Arial"/>
                <w:color w:val="000000"/>
                <w:lang w:eastAsia="es-MX"/>
              </w:rPr>
              <w:t xml:space="preserve"> 73,951,443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Fideicomiso Bancomer 403248-8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</w:t>
            </w:r>
            <w:r w:rsidR="0024548A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       145,635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3C" w:rsidRPr="0031523C" w:rsidRDefault="0031523C" w:rsidP="00AA5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</w:t>
            </w:r>
            <w:r w:rsidR="00AA5A7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252,570,590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Inmuebles, Infraestructura y Construcciones en Proceso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importe de estos bienes al 30 de Junio de 2021, se desglosa a continuación: 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Terrenos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389,839,743 </w:t>
            </w:r>
          </w:p>
        </w:tc>
      </w:tr>
      <w:tr w:rsidR="0031523C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Edificios no habitacionales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1,297,424,423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Oficinas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1,120,332,788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Mercados Municipales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177,091,635 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Infraestructura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3,940,485,680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Edificación no Habitacional en Proceso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92,004,081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División de Terrenos y Construcción de Obras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1,539,872,537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Construcción de Vías de Comunicación en Proceso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1,117,191,885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Otras Construcciones de Ingeniería Civil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404,850,276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Equipamiento en Construcciones en Procesos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14,268,090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Trabajo en Edificaciones y Otros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12,266,490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Edificaciones en Proceso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505,605,963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222,709,139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Estudios Formulación y Evaluación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31,617,419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Otros activos Diferidos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99,800 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Construcciones en proceso de bienes de dominio público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2,218,179,545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Edificación Habitacional en Proceso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10,408,076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Edificación no Habitacional en Proceso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1,094,342,518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Construcción de Obras para el Abastecimiento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158,297,679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División de Terrenos y Construcción de Obras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211,786,492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Construcción de Vías de Comunicación en Proceso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579,643,394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Otras Construcciones de Ingeniería Civil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128,942,646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Trabajos de Acabados en Edificaciones y Otros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34,758,741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237,883,050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Su saldo se integra como sigue: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84,134,841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Muebles, Excepto de Oficina y Estantería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4,259,454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Equipo de Cómputo y de TI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292,694,424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39,225,832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Mobiliario y equipo educacional y recreativo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91,421,359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Equipo e instrumental médico y de laboratorio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68,237,121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Equipo de transporte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712,765,483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Equipo de defensa y seguridad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95,804,700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Colecciones, obras de arte y objetos valiosos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29,273,238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Activos biológicos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1,233,136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Maquinaria, otros equipos y herramienta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412,403,839 </w:t>
            </w:r>
          </w:p>
        </w:tc>
      </w:tr>
      <w:tr w:rsidR="0031523C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bienes muebles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1,831,453,427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Estimaciones y Deterioros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No se tiene identificadas causas de deterioro que afecten el valor de los activos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reconocidos contablemente, que son propiedad del Municipio.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Activos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Su importe se refiere, principalmente, a cierto software adquirido por el Municipio y a los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derechos pagados por el registro de la patente de la mascota oficial de los Juegos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Panamericanos 2011.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Software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65,309,481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Concesiones y Franquicias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41,967,892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Licencias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5,121,822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Patentes 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15,256,513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Otros activos intangibles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7,563,740 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Total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135,219,448 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Pasivo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y documentos por pagar a corto plazo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Las cuentas y documentos por pagar a corto plazo, al 30 de Junio de 2021 se integran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como sigue: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Servicios personales por pagar a corto plazo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282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</w:t>
            </w:r>
            <w:r w:rsidR="0028233A">
              <w:rPr>
                <w:rFonts w:ascii="Arial" w:eastAsia="Times New Roman" w:hAnsi="Arial" w:cs="Arial"/>
                <w:color w:val="000000"/>
                <w:lang w:eastAsia="es-MX"/>
              </w:rPr>
              <w:t>27,443,883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Proveedores por pagar a corto plazo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</w:t>
            </w:r>
            <w:r w:rsidR="002823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154,677,697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Contratistas por obras públicas por pagar a corto plazo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29,163,058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Transferencias otorgadas por pagar a Corto Plazo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</w:t>
            </w:r>
            <w:r w:rsidR="002823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 64,361,438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Intereses y comisiones y otros gastos de la deuda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148,118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Retenciones y contribuciones por pagar a corto plazo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53,396,026 </w:t>
            </w: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Devolución de la Ley de ingresos por pagar a CP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65,018 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Otras cuentas por pagar a corto plazo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F87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</w:t>
            </w:r>
            <w:r w:rsidR="002823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       12,708,462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cuentas y documentos por pagar a corto plazo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F87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</w:t>
            </w:r>
            <w:r w:rsidR="002823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           341,963,700</w:t>
            </w: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tiene detectadas ciertas situaciones que derivaron en el registro contable de pasivos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que a la fecha no son exigibles y que no han sido cuantificados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Deuda pública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Se conforma como a continuación se señala: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95167">
        <w:trPr>
          <w:gridAfter w:val="1"/>
          <w:wAfter w:w="785" w:type="dxa"/>
          <w:trHeight w:val="315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Corto plazo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Largo plazo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Total </w:t>
            </w:r>
          </w:p>
        </w:tc>
      </w:tr>
      <w:tr w:rsidR="0031523C" w:rsidRPr="0031523C" w:rsidTr="00395167">
        <w:trPr>
          <w:gridAfter w:val="1"/>
          <w:wAfter w:w="785" w:type="dxa"/>
          <w:trHeight w:val="315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 largo plazo: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1523C" w:rsidRPr="0031523C" w:rsidTr="00395167">
        <w:trPr>
          <w:gridAfter w:val="1"/>
          <w:wAfter w:w="785" w:type="dxa"/>
          <w:trHeight w:val="30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BBVA Bancomer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95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52,696,731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95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846,301,284 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9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898,998,014.85 </w:t>
            </w:r>
          </w:p>
        </w:tc>
      </w:tr>
      <w:tr w:rsidR="0031523C" w:rsidRPr="0031523C" w:rsidTr="00395167">
        <w:trPr>
          <w:gridAfter w:val="1"/>
          <w:wAfter w:w="785" w:type="dxa"/>
          <w:trHeight w:val="585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Banco Mercantil del Norte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95167" w:rsidP="00395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30,555,550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95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555,092,695 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9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</w:t>
            </w:r>
            <w:r w:rsidR="00395167">
              <w:rPr>
                <w:rFonts w:ascii="Arial" w:eastAsia="Times New Roman" w:hAnsi="Arial" w:cs="Arial"/>
                <w:color w:val="000000"/>
                <w:lang w:eastAsia="es-MX"/>
              </w:rPr>
              <w:t>585,648,244.44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95167">
        <w:trPr>
          <w:gridAfter w:val="1"/>
          <w:wAfter w:w="785" w:type="dxa"/>
          <w:trHeight w:val="315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95167" w:rsidP="00395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83,252,281</w:t>
            </w:r>
            <w:r w:rsidR="0031523C"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95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1,401,393,979 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23C" w:rsidRPr="0031523C" w:rsidRDefault="0031523C" w:rsidP="00395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1,</w:t>
            </w:r>
            <w:r w:rsidR="0039516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484,646,259.29</w:t>
            </w: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A  partir  de  septiembre  de 2017, fue  pactado  con  BBVA Bancomer,  la reducción  de la tasa de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interés  para  quedar  en  TIIE+1.09   puntos  porcentuales,  así   como el  compromiso  que  recae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en el Fondo General de Participaciones para afectar sólo el 20%. Para garantizar el pago oportuno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de la  deuda , se constituyó un fideicomiso irrevocable de administración y medio de pago,a través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del  cual  se  liquidan  las  obligaciones   del  Municipio y en  el  que  el  banco  mencionado  es  el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93745D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Fideicomisario</w:t>
            </w:r>
            <w:r w:rsidR="0031523C"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primer lugar. Este crédito vencerá el 31 de marzo de 2028.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A  partir  de  septiembre  de 2017, fue pactado con el Banco Mercantil del Norte, la reducción de la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tasa de interés para quedar en TIIE+0.90 puntos porcentuales, así como el compromiso que recae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en el Fondo General de Participaciones para afectar sólo el 16%. Para garantizar el pago oportuno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 la  deuda,se constituyó un fideicomiso irrevocable de administración y medio de pago, a través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del  cual  se  liquidan  las  obligaciones  del  Municipio  y  en  el que  el  banco   mencionado  es  el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fideicomisario en primer lugar. Este crédito vencerá el 11 de enero de 2031.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Cabe  mencionar  que  el  registro  de  este crédito se efectuó  de  conformidad con lo establecido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en  la  Ley  de Disciplina Financiera de las Entidades Federativas y sus Municipios, así como a los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Criterios  para  la  elaboración  y  presentación  homogénea de la información  financiera  y de los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formatos a que hace referencia la Ley de Disciplina Financiera de las Entidades Federativas y los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Municipios, Formato 2 Informe Analítico de la Deuda Pública y Otros Pasivos, numerales c) y k)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II) Notas al Estado de Actividades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El  desglose  de  las  cuentas  de  resultados  es  a  tercer  nivel, se  proporciona  en  el  propio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Estado de Actividades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6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Intereses, comisiones y otros gastos de la Deuda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intereses pagados en el ejercicio por concepto de intereses de la deuda ascienden a 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$40,271,462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Ingresos excedentes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Son</w:t>
            </w: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los recursos que durante  el ejercicio fiscal se obtienen en exceso de los aprobados en la  Ley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 Ingresos  y, de conformidad con la  Ley de  Disciplina  Financiera, los derivados de ingresos de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libre disposición,se deberán destinar,al menos en un 50 por ciento, para la amortización anticipada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de la Deuda  Pública , el  pago  de  adeudos de ejercicios fiscales anteriores,pasivos circulantes y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otras  obligaciones ,  en  cuyos  contratos   se  haya   pactado  el  pago anticipado  sin   incurrir  en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penalidades  y  representen  una  disminución  del  saldo registrado  en la cuenta pública del cierre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del ejercicio inmediato anterior, así como el pago de sentencias definitivas emitidas por la autoridad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competente, la  aportación  a  fondos  para  la  atención  de  desastres  naturales  y  de  pensiones.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Dichos excedentes podrán destinarse a reducir el balance presupuestario de recursos disponibles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negativo  de  ejercicios  anteriores,  a  partir  de  la entrada  en vigor de esta Ley y hasta el ejercicio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fiscal 2022.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6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En caso de subsistir remanente, se aplicará a: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a) 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Inversión pública productiva, a través de un fondo que se constituya para tal efecto, con el fin de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que  los  recursos  correspondientes se ejerzan a más tardar en el ejercicio inmediato siguiente, y</w:t>
            </w:r>
          </w:p>
        </w:tc>
      </w:tr>
      <w:tr w:rsidR="0031523C" w:rsidRPr="0031523C" w:rsidTr="0031523C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0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b) 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La creación de un fondo cuyo objetivo sea compensar la caída de Ingresos de libre disposición</w:t>
            </w:r>
          </w:p>
        </w:tc>
      </w:tr>
      <w:tr w:rsidR="0031523C" w:rsidRPr="0031523C" w:rsidTr="0031523C">
        <w:trPr>
          <w:trHeight w:val="285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de ejercicios subsecuentes.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Los Ingresos excedentes derivados de Ingresos de libre disposición podrán destinarse a los rubros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mencionados  en  el  presente artículo, sin  limitación  alguna, siempre y cuando el ente público se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clasifique en un nivel de endeudamiento sostenible de acuerdo al Sistema de Alertas.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1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III) Notas al Estado de Variación en la Hacienda Pública.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El desglose de las cuentas se informa de manera agrupada acerca de las modificaciones al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patrimonio contribuido  y los recursos que modifican al patrimonio generado se proporcionan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075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en el estado de Variac</w:t>
            </w:r>
            <w:r w:rsidR="00075B2F">
              <w:rPr>
                <w:rFonts w:ascii="Arial" w:eastAsia="Times New Roman" w:hAnsi="Arial" w:cs="Arial"/>
                <w:color w:val="000000"/>
                <w:lang w:eastAsia="es-MX"/>
              </w:rPr>
              <w:t>ión en la Hacienda Pública al 30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="00075B2F">
              <w:rPr>
                <w:rFonts w:ascii="Arial" w:eastAsia="Times New Roman" w:hAnsi="Arial" w:cs="Arial"/>
                <w:color w:val="000000"/>
                <w:lang w:eastAsia="es-MX"/>
              </w:rPr>
              <w:t>Junio</w:t>
            </w: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2020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31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IV) Notas al Estado de Flujos de Efectivo</w:t>
            </w: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Efectivo y Equivalente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análisis de los Saldos inicial y final que figuran en la última parte del Estado de Flujo de Efectivo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en la cuenta de efectivo y equivalentes como sigue:</w:t>
            </w:r>
          </w:p>
        </w:tc>
      </w:tr>
      <w:tr w:rsidR="0031523C" w:rsidRPr="0031523C" w:rsidTr="00C50967">
        <w:trPr>
          <w:trHeight w:val="285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C50967">
        <w:trPr>
          <w:trHeight w:val="30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1523C" w:rsidRPr="00C50967" w:rsidRDefault="0031523C" w:rsidP="003152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1523C" w:rsidRPr="00C50967" w:rsidRDefault="0031523C" w:rsidP="003152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MX"/>
              </w:rPr>
              <w:t>2021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1523C" w:rsidRPr="00C50967" w:rsidRDefault="0031523C" w:rsidP="003152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MX"/>
              </w:rPr>
              <w:t>2020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8233A" w:rsidRPr="0031523C" w:rsidTr="003A2CB3">
        <w:trPr>
          <w:trHeight w:val="255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EFECTIVO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Default="002823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$467,380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        495,365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3A" w:rsidRPr="0031523C" w:rsidRDefault="0028233A" w:rsidP="00C5096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8233A" w:rsidRPr="0031523C" w:rsidTr="003A2CB3">
        <w:trPr>
          <w:trHeight w:val="255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BANCOS/TESORERIA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Default="002823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$726,779,801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 484,583,734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3A" w:rsidRPr="0031523C" w:rsidRDefault="0028233A" w:rsidP="00C5096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8233A" w:rsidRPr="0031523C" w:rsidTr="003A2CB3">
        <w:trPr>
          <w:trHeight w:val="48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INVERSIONES TEMPORALES (HASTA 3 MESES)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Default="002823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$178,900,055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     1,628,710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3A" w:rsidRPr="0031523C" w:rsidRDefault="0028233A" w:rsidP="00C5096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8233A" w:rsidRPr="0031523C" w:rsidTr="003A2CB3">
        <w:trPr>
          <w:trHeight w:val="48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FONDOS CON AFECTACIÓN ESPECÍFICA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Default="002823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$575,010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         137,904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3A" w:rsidRPr="0031523C" w:rsidRDefault="0028233A" w:rsidP="00C5096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8233A" w:rsidRPr="0031523C" w:rsidTr="003A2CB3">
        <w:trPr>
          <w:trHeight w:val="72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DEPÓSITOS DE FONDOS DE TERCEROS EN GARANTÍA Y/O ADMINISTRACIÓN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Default="002823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$16,458,781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    16,471,710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3A" w:rsidRPr="0031523C" w:rsidRDefault="0028233A" w:rsidP="00C5096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8233A" w:rsidRPr="0031523C" w:rsidTr="003A2CB3">
        <w:trPr>
          <w:trHeight w:val="48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>Otros Efectivos Y equivalentes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Default="002823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$1,147,138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Pr="00C50967" w:rsidRDefault="0028233A" w:rsidP="00C509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color w:val="000000"/>
                <w:sz w:val="18"/>
                <w:szCs w:val="20"/>
                <w:lang w:eastAsia="es-MX"/>
              </w:rPr>
              <w:t xml:space="preserve">      1,087,581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3A" w:rsidRPr="0031523C" w:rsidRDefault="0028233A" w:rsidP="00C5096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8233A" w:rsidRPr="0031523C" w:rsidTr="00C50967">
        <w:trPr>
          <w:trHeight w:val="51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33A" w:rsidRPr="00C50967" w:rsidRDefault="0028233A" w:rsidP="003152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MX"/>
              </w:rPr>
              <w:t>Total de Efectivo y equivalentes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Pr="0028233A" w:rsidRDefault="0028233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8233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$924,328,164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33A" w:rsidRPr="00C50967" w:rsidRDefault="0028233A" w:rsidP="003152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C5096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s-MX"/>
              </w:rPr>
              <w:t>504,425,003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3A" w:rsidRPr="0031523C" w:rsidRDefault="0028233A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C50967">
        <w:trPr>
          <w:trHeight w:val="285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Bajo protesta de decir verdad declaramos que los Estados Financieros y sus Notas son </w:t>
            </w:r>
          </w:p>
        </w:tc>
      </w:tr>
      <w:tr w:rsidR="0031523C" w:rsidRPr="0031523C" w:rsidTr="0031523C">
        <w:trPr>
          <w:trHeight w:val="285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3C" w:rsidRPr="0031523C" w:rsidRDefault="0031523C" w:rsidP="00315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523C">
              <w:rPr>
                <w:rFonts w:ascii="Arial" w:eastAsia="Times New Roman" w:hAnsi="Arial" w:cs="Arial"/>
                <w:color w:val="000000"/>
                <w:lang w:eastAsia="es-MX"/>
              </w:rPr>
              <w:t>razonablemente correctos y responsabilidad del emisor</w:t>
            </w:r>
          </w:p>
        </w:tc>
      </w:tr>
    </w:tbl>
    <w:p w:rsidR="001468AD" w:rsidRDefault="001468AD"/>
    <w:sectPr w:rsidR="00146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3C"/>
    <w:rsid w:val="00075B2F"/>
    <w:rsid w:val="001468AD"/>
    <w:rsid w:val="00214387"/>
    <w:rsid w:val="0024548A"/>
    <w:rsid w:val="0028233A"/>
    <w:rsid w:val="0031523C"/>
    <w:rsid w:val="00395167"/>
    <w:rsid w:val="005F5093"/>
    <w:rsid w:val="0093745D"/>
    <w:rsid w:val="00A62660"/>
    <w:rsid w:val="00AA5A75"/>
    <w:rsid w:val="00C50967"/>
    <w:rsid w:val="00DC6B80"/>
    <w:rsid w:val="00F024AE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2327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 Moreno Sandra Carolina</dc:creator>
  <cp:lastModifiedBy>Soltero Carrillo Dora Guadalupe</cp:lastModifiedBy>
  <cp:revision>2</cp:revision>
  <cp:lastPrinted>2021-09-13T17:00:00Z</cp:lastPrinted>
  <dcterms:created xsi:type="dcterms:W3CDTF">2023-11-14T21:27:00Z</dcterms:created>
  <dcterms:modified xsi:type="dcterms:W3CDTF">2023-11-14T21:27:00Z</dcterms:modified>
</cp:coreProperties>
</file>