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6527"/>
      </w:tblGrid>
      <w:tr w:rsidR="00324C82" w:rsidRPr="004B40C1" w:rsidTr="00324C82">
        <w:tc>
          <w:tcPr>
            <w:tcW w:w="2451" w:type="dxa"/>
          </w:tcPr>
          <w:p w:rsidR="00324C82" w:rsidRPr="004B40C1" w:rsidRDefault="00324C82" w:rsidP="00324C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40C1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AD15C7A" wp14:editId="2CD5A563">
                  <wp:extent cx="1419423" cy="959436"/>
                  <wp:effectExtent l="0" t="0" r="0" b="0"/>
                  <wp:docPr id="15" name="1 Imagen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9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7" w:type="dxa"/>
          </w:tcPr>
          <w:p w:rsidR="00324C82" w:rsidRPr="004B40C1" w:rsidRDefault="00324C82" w:rsidP="00324C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4C82" w:rsidRPr="004B40C1" w:rsidRDefault="00324C82" w:rsidP="00324C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0C1">
              <w:rPr>
                <w:rFonts w:ascii="Arial" w:hAnsi="Arial" w:cs="Arial"/>
                <w:b/>
                <w:sz w:val="24"/>
                <w:szCs w:val="24"/>
              </w:rPr>
              <w:t>MUNICIPIO DE GUADALAJARA</w:t>
            </w:r>
          </w:p>
          <w:p w:rsidR="00324C82" w:rsidRPr="004B40C1" w:rsidRDefault="00324C82" w:rsidP="00324C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0C1">
              <w:rPr>
                <w:rFonts w:ascii="Arial" w:hAnsi="Arial" w:cs="Arial"/>
                <w:b/>
                <w:sz w:val="24"/>
                <w:szCs w:val="24"/>
              </w:rPr>
              <w:t>NOTAS A LOS ESTADOS FINANCIEROS</w:t>
            </w:r>
          </w:p>
          <w:p w:rsidR="00324C82" w:rsidRPr="004B40C1" w:rsidRDefault="00324C82" w:rsidP="00324C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0C1">
              <w:rPr>
                <w:rFonts w:ascii="Arial" w:hAnsi="Arial" w:cs="Arial"/>
                <w:b/>
                <w:sz w:val="24"/>
                <w:szCs w:val="24"/>
              </w:rPr>
              <w:t>DEL 1 DE ENERO 2025 AL 31 DE MARZO DE 2025</w:t>
            </w:r>
          </w:p>
          <w:p w:rsidR="00324C82" w:rsidRPr="004B40C1" w:rsidRDefault="00324C82" w:rsidP="00324C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24C82" w:rsidRPr="004B40C1" w:rsidRDefault="00324C82" w:rsidP="00324C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7115F" w:rsidRPr="004B40C1" w:rsidRDefault="0097115F" w:rsidP="00324C82">
      <w:pPr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97115F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Su objetivo es revelar y proporcionar información adicional que no se presenta en los Estados Financieros, pero que es relevante para la comprensión de alguno de ellos. Lo anterior para dar cumplimiento a los artículos 46, fracción I, inciso g), 47, 48 y 49 de la Ley General de Contabilidad Gubernamental (LGCG) se presentan las notas a los Estados Financieros  al 31 de Marzo de 2025.</w:t>
      </w:r>
    </w:p>
    <w:p w:rsidR="00222F79" w:rsidRDefault="00222F79" w:rsidP="00222F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CA4048" w:rsidP="00324C8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B40C1">
        <w:rPr>
          <w:rFonts w:ascii="Arial" w:hAnsi="Arial" w:cs="Arial"/>
          <w:b/>
          <w:sz w:val="24"/>
          <w:szCs w:val="24"/>
        </w:rPr>
        <w:t>NOTAS DE DESGLOSE</w:t>
      </w:r>
    </w:p>
    <w:bookmarkEnd w:id="0"/>
    <w:p w:rsidR="0097115F" w:rsidRPr="004B40C1" w:rsidRDefault="0097115F" w:rsidP="00324C82">
      <w:pPr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I) Estado de Actividades.</w:t>
      </w:r>
    </w:p>
    <w:p w:rsidR="0007481F" w:rsidRPr="004B40C1" w:rsidRDefault="0007481F" w:rsidP="000748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 xml:space="preserve">1. </w:t>
      </w:r>
      <w:r w:rsidR="0097115F" w:rsidRPr="004B40C1">
        <w:rPr>
          <w:rFonts w:ascii="Arial" w:hAnsi="Arial" w:cs="Arial"/>
          <w:sz w:val="24"/>
          <w:szCs w:val="24"/>
          <w:u w:val="single"/>
        </w:rPr>
        <w:t>Ingresos de Gestión</w:t>
      </w:r>
    </w:p>
    <w:p w:rsidR="0097115F" w:rsidRPr="004B40C1" w:rsidRDefault="0097115F" w:rsidP="000748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En el periodo presentado el importe correspondiente a los Impuestos, Contribuciones de Mejoras, Derechos, Productos y Aprovechamientos de la entidad suma la cantidad de $</w:t>
      </w:r>
      <w:r w:rsidR="00222F79">
        <w:rPr>
          <w:rFonts w:ascii="Arial" w:hAnsi="Arial" w:cs="Arial"/>
          <w:sz w:val="24"/>
          <w:szCs w:val="24"/>
        </w:rPr>
        <w:t>3</w:t>
      </w:r>
      <w:r w:rsidRPr="004B40C1">
        <w:rPr>
          <w:rFonts w:ascii="Arial" w:hAnsi="Arial" w:cs="Arial"/>
          <w:sz w:val="24"/>
          <w:szCs w:val="24"/>
        </w:rPr>
        <w:t>,</w:t>
      </w:r>
      <w:r w:rsidR="00222F79">
        <w:rPr>
          <w:rFonts w:ascii="Arial" w:hAnsi="Arial" w:cs="Arial"/>
          <w:sz w:val="24"/>
          <w:szCs w:val="24"/>
        </w:rPr>
        <w:t>216</w:t>
      </w:r>
      <w:r w:rsidRPr="004B40C1">
        <w:rPr>
          <w:rFonts w:ascii="Arial" w:hAnsi="Arial" w:cs="Arial"/>
          <w:sz w:val="24"/>
          <w:szCs w:val="24"/>
        </w:rPr>
        <w:t xml:space="preserve"> millones de pesos.</w:t>
      </w:r>
    </w:p>
    <w:p w:rsidR="0007481F" w:rsidRPr="004B40C1" w:rsidRDefault="0007481F" w:rsidP="000748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07481F" w:rsidP="0007481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B40C1">
        <w:rPr>
          <w:rFonts w:ascii="Arial" w:hAnsi="Arial" w:cs="Arial"/>
          <w:sz w:val="24"/>
          <w:szCs w:val="24"/>
          <w:u w:val="single"/>
        </w:rPr>
        <w:t xml:space="preserve">2. </w:t>
      </w:r>
      <w:r w:rsidR="0097115F" w:rsidRPr="004B40C1">
        <w:rPr>
          <w:rFonts w:ascii="Arial" w:hAnsi="Arial" w:cs="Arial"/>
          <w:sz w:val="24"/>
          <w:szCs w:val="24"/>
          <w:u w:val="single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97115F" w:rsidRPr="004B40C1" w:rsidRDefault="0097115F" w:rsidP="000748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El monto correspondiente a Participaciones y Aportaciones es de $</w:t>
      </w:r>
      <w:r w:rsidR="00222F79">
        <w:rPr>
          <w:rFonts w:ascii="Arial" w:hAnsi="Arial" w:cs="Arial"/>
          <w:sz w:val="24"/>
          <w:szCs w:val="24"/>
        </w:rPr>
        <w:t>1</w:t>
      </w:r>
      <w:r w:rsidRPr="004B40C1">
        <w:rPr>
          <w:rFonts w:ascii="Arial" w:hAnsi="Arial" w:cs="Arial"/>
          <w:sz w:val="24"/>
          <w:szCs w:val="24"/>
        </w:rPr>
        <w:t>,</w:t>
      </w:r>
      <w:r w:rsidR="00FA5D55">
        <w:rPr>
          <w:rFonts w:ascii="Arial" w:hAnsi="Arial" w:cs="Arial"/>
          <w:sz w:val="24"/>
          <w:szCs w:val="24"/>
        </w:rPr>
        <w:t>225</w:t>
      </w:r>
      <w:r w:rsidRPr="004B40C1">
        <w:rPr>
          <w:rFonts w:ascii="Arial" w:hAnsi="Arial" w:cs="Arial"/>
          <w:sz w:val="24"/>
          <w:szCs w:val="24"/>
        </w:rPr>
        <w:t xml:space="preserve"> millones de    pesos</w:t>
      </w:r>
      <w:r w:rsidR="00FA5D55">
        <w:rPr>
          <w:rFonts w:ascii="Arial" w:hAnsi="Arial" w:cs="Arial"/>
          <w:sz w:val="24"/>
          <w:szCs w:val="24"/>
        </w:rPr>
        <w:t>.</w:t>
      </w:r>
    </w:p>
    <w:p w:rsidR="009433E1" w:rsidRDefault="009433E1" w:rsidP="00324C82">
      <w:pPr>
        <w:jc w:val="both"/>
        <w:rPr>
          <w:rFonts w:ascii="Arial" w:hAnsi="Arial" w:cs="Arial"/>
          <w:b/>
          <w:sz w:val="24"/>
          <w:szCs w:val="24"/>
        </w:rPr>
      </w:pPr>
    </w:p>
    <w:p w:rsidR="0097115F" w:rsidRPr="004B40C1" w:rsidRDefault="0097115F" w:rsidP="00324C82">
      <w:pPr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Gastos y Otras Pérdidas</w:t>
      </w:r>
    </w:p>
    <w:p w:rsidR="002A1486" w:rsidRPr="004B40C1" w:rsidRDefault="0007481F" w:rsidP="002A148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B40C1">
        <w:rPr>
          <w:rFonts w:ascii="Arial" w:hAnsi="Arial" w:cs="Arial"/>
          <w:sz w:val="24"/>
          <w:szCs w:val="24"/>
          <w:u w:val="single"/>
        </w:rPr>
        <w:t>1.</w:t>
      </w:r>
      <w:r w:rsidR="002A1486" w:rsidRPr="004B40C1">
        <w:rPr>
          <w:rFonts w:ascii="Arial" w:hAnsi="Arial" w:cs="Arial"/>
          <w:sz w:val="24"/>
          <w:szCs w:val="24"/>
          <w:u w:val="single"/>
        </w:rPr>
        <w:t xml:space="preserve"> </w:t>
      </w:r>
      <w:r w:rsidR="0097115F" w:rsidRPr="004B40C1">
        <w:rPr>
          <w:rFonts w:ascii="Arial" w:hAnsi="Arial" w:cs="Arial"/>
          <w:sz w:val="24"/>
          <w:szCs w:val="24"/>
          <w:u w:val="single"/>
        </w:rPr>
        <w:t>Gastos de Funcionamiento</w:t>
      </w:r>
    </w:p>
    <w:p w:rsidR="0097115F" w:rsidRPr="004B40C1" w:rsidRDefault="0097115F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En el periodo presentado el importe correspondiente a Gastos de Funcionamiento del Municipio suma la cantidad de $1,</w:t>
      </w:r>
      <w:r w:rsidR="00FA5D55">
        <w:rPr>
          <w:rFonts w:ascii="Arial" w:hAnsi="Arial" w:cs="Arial"/>
          <w:sz w:val="24"/>
          <w:szCs w:val="24"/>
        </w:rPr>
        <w:t>775</w:t>
      </w:r>
      <w:r w:rsidRPr="004B40C1">
        <w:rPr>
          <w:rFonts w:ascii="Arial" w:hAnsi="Arial" w:cs="Arial"/>
          <w:sz w:val="24"/>
          <w:szCs w:val="24"/>
        </w:rPr>
        <w:t xml:space="preserve"> millones de pesos, los cuales comprenden Servicios Personales, Materiales y Suministros, así como Servicios Generales.</w:t>
      </w:r>
    </w:p>
    <w:p w:rsidR="009433E1" w:rsidRPr="004B40C1" w:rsidRDefault="009433E1" w:rsidP="00324C82">
      <w:pPr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97115F" w:rsidP="00324C82">
      <w:pPr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II</w:t>
      </w:r>
      <w:r w:rsidR="002A1486" w:rsidRPr="004B40C1">
        <w:rPr>
          <w:rFonts w:ascii="Arial" w:hAnsi="Arial" w:cs="Arial"/>
          <w:b/>
          <w:sz w:val="24"/>
          <w:szCs w:val="24"/>
        </w:rPr>
        <w:t>) Estado</w:t>
      </w:r>
      <w:r w:rsidRPr="004B40C1">
        <w:rPr>
          <w:rFonts w:ascii="Arial" w:hAnsi="Arial" w:cs="Arial"/>
          <w:b/>
          <w:sz w:val="24"/>
          <w:szCs w:val="24"/>
        </w:rPr>
        <w:t xml:space="preserve"> de Situación Financiera</w:t>
      </w:r>
    </w:p>
    <w:p w:rsidR="0097115F" w:rsidRPr="004B40C1" w:rsidRDefault="0097115F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En cada uno de los conceptos se podrá apreciar su desglose:</w:t>
      </w:r>
    </w:p>
    <w:p w:rsidR="002A1486" w:rsidRPr="004B40C1" w:rsidRDefault="0097115F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lastRenderedPageBreak/>
        <w:t>Activo</w:t>
      </w:r>
    </w:p>
    <w:p w:rsidR="004B40C1" w:rsidRPr="004B40C1" w:rsidRDefault="004B40C1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7115F" w:rsidRPr="004B40C1" w:rsidRDefault="0097115F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Efectivo y Equivalentes</w:t>
      </w:r>
    </w:p>
    <w:p w:rsidR="0097115F" w:rsidRPr="004B40C1" w:rsidRDefault="0097115F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B36A47A" wp14:editId="1A50AA2C">
            <wp:extent cx="5612130" cy="15582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486" w:rsidRPr="004B40C1" w:rsidRDefault="002A1486" w:rsidP="002A1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97115F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Derechos a recibir Efectivo y Equivalentes y Bienes o Servicios</w:t>
      </w:r>
    </w:p>
    <w:p w:rsidR="0097115F" w:rsidRPr="004B40C1" w:rsidRDefault="0097115F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39D2943" wp14:editId="5F44A98F">
            <wp:extent cx="5612130" cy="15144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C1" w:rsidRPr="004B40C1" w:rsidRDefault="004B40C1" w:rsidP="002A1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97115F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Inversiones Financieras a Largo Plazo</w:t>
      </w:r>
    </w:p>
    <w:p w:rsidR="002A1486" w:rsidRDefault="0097115F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829B1F5" wp14:editId="229CEA22">
            <wp:extent cx="5612130" cy="79692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79" w:rsidRPr="004B40C1" w:rsidRDefault="00222F79" w:rsidP="002A1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97115F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Bienes Inmuebles, Infraestructura y Construcciones en Proceso</w:t>
      </w:r>
    </w:p>
    <w:p w:rsid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8CEE3EE" wp14:editId="340B098A">
            <wp:extent cx="5612130" cy="13220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79" w:rsidRDefault="00222F79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433E1" w:rsidRDefault="009433E1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433E1" w:rsidRDefault="009433E1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433E1" w:rsidRPr="004B40C1" w:rsidRDefault="009433E1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lastRenderedPageBreak/>
        <w:t>Bienes Muebles</w:t>
      </w: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679B226" wp14:editId="25B42C6E">
            <wp:extent cx="5612130" cy="181800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79" w:rsidRPr="004B40C1" w:rsidRDefault="00222F79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Otros Activos</w:t>
      </w: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C193C86" wp14:editId="3F339BE0">
            <wp:extent cx="5612130" cy="114363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3E1" w:rsidRDefault="009433E1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433E1" w:rsidRDefault="009433E1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433E1" w:rsidRPr="004B40C1" w:rsidRDefault="009433E1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Pasivo</w:t>
      </w:r>
    </w:p>
    <w:p w:rsidR="002A1486" w:rsidRPr="004B40C1" w:rsidRDefault="002A1486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Cuentas y Documentos por pagar</w:t>
      </w:r>
    </w:p>
    <w:p w:rsidR="00F76C33" w:rsidRPr="004B40C1" w:rsidRDefault="00F76C33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9EFA6E2" wp14:editId="39E20305">
            <wp:extent cx="5613621" cy="1455089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486" w:rsidRP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Fondos y Bienes de Terceros en Garantía y/o Administración</w:t>
      </w: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Se compone por Fondos y Bienes de Terceros en Garantía y/o Adminis</w:t>
      </w:r>
      <w:r w:rsidR="00FA5D55">
        <w:rPr>
          <w:rFonts w:ascii="Arial" w:hAnsi="Arial" w:cs="Arial"/>
          <w:sz w:val="24"/>
          <w:szCs w:val="24"/>
        </w:rPr>
        <w:t>tración por $763</w:t>
      </w:r>
      <w:r w:rsidRPr="004B40C1">
        <w:rPr>
          <w:rFonts w:ascii="Arial" w:hAnsi="Arial" w:cs="Arial"/>
          <w:sz w:val="24"/>
          <w:szCs w:val="24"/>
        </w:rPr>
        <w:t>,633.1</w:t>
      </w:r>
      <w:r w:rsidR="00FA5D55">
        <w:rPr>
          <w:rFonts w:ascii="Arial" w:hAnsi="Arial" w:cs="Arial"/>
          <w:sz w:val="24"/>
          <w:szCs w:val="24"/>
        </w:rPr>
        <w:t>2</w:t>
      </w:r>
      <w:r w:rsidRPr="004B40C1">
        <w:rPr>
          <w:rFonts w:ascii="Arial" w:hAnsi="Arial" w:cs="Arial"/>
          <w:sz w:val="24"/>
          <w:szCs w:val="24"/>
        </w:rPr>
        <w:t>.</w:t>
      </w:r>
    </w:p>
    <w:p w:rsidR="002A1486" w:rsidRPr="004B40C1" w:rsidRDefault="002A1486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Otros Pasivos</w:t>
      </w: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Se compone por Ingresos por clasificar por $103,367.21.</w:t>
      </w:r>
    </w:p>
    <w:p w:rsidR="002A1486" w:rsidRPr="004B40C1" w:rsidRDefault="002A1486" w:rsidP="002A1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1486" w:rsidRPr="004B40C1" w:rsidRDefault="002A1486" w:rsidP="002A1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lastRenderedPageBreak/>
        <w:t>III) Notas al Estado de Variación en la Hacienda Pública</w:t>
      </w:r>
    </w:p>
    <w:p w:rsidR="002A1486" w:rsidRPr="004B40C1" w:rsidRDefault="002A1486" w:rsidP="002A1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6C33" w:rsidRPr="004B40C1" w:rsidRDefault="002A1486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 xml:space="preserve">1. </w:t>
      </w:r>
      <w:r w:rsidR="00F76C33" w:rsidRPr="004B40C1">
        <w:rPr>
          <w:rFonts w:ascii="Arial" w:hAnsi="Arial" w:cs="Arial"/>
          <w:sz w:val="24"/>
          <w:szCs w:val="24"/>
        </w:rPr>
        <w:t>Modificaciones al Patrimonio Contribuido</w:t>
      </w:r>
    </w:p>
    <w:p w:rsidR="00222F79" w:rsidRDefault="00F76C33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En el periodo aquí presentado asciende a $70 millones de pesos, el cual no ha sufrido modificaciones respecto al saldo del ejercicio fiscal anterior y que se integra por el registro efectuado en ejercicios anteriores</w:t>
      </w:r>
      <w:r w:rsidR="002A1486" w:rsidRPr="004B40C1">
        <w:rPr>
          <w:rFonts w:ascii="Arial" w:hAnsi="Arial" w:cs="Arial"/>
          <w:sz w:val="24"/>
          <w:szCs w:val="24"/>
        </w:rPr>
        <w:t>.</w:t>
      </w:r>
    </w:p>
    <w:p w:rsidR="00222F79" w:rsidRDefault="00222F79" w:rsidP="002A1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6C33" w:rsidRPr="004B40C1" w:rsidRDefault="002A1486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 xml:space="preserve">2. </w:t>
      </w:r>
      <w:r w:rsidR="00F76C33" w:rsidRPr="004B40C1">
        <w:rPr>
          <w:rFonts w:ascii="Arial" w:hAnsi="Arial" w:cs="Arial"/>
          <w:sz w:val="24"/>
          <w:szCs w:val="24"/>
        </w:rPr>
        <w:t>Modificaciones al Patrimonio Generado</w:t>
      </w: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En el periodo presentado la Entidad generó un ahorro por un importe de $2,</w:t>
      </w:r>
      <w:r w:rsidR="00FA5D55">
        <w:rPr>
          <w:rFonts w:ascii="Arial" w:hAnsi="Arial" w:cs="Arial"/>
          <w:sz w:val="24"/>
          <w:szCs w:val="24"/>
        </w:rPr>
        <w:t>665</w:t>
      </w:r>
      <w:r w:rsidRPr="004B40C1">
        <w:rPr>
          <w:rFonts w:ascii="Arial" w:hAnsi="Arial" w:cs="Arial"/>
          <w:sz w:val="24"/>
          <w:szCs w:val="24"/>
        </w:rPr>
        <w:t xml:space="preserve"> millones de pesos, del cual puede observarse su conformación en el Estado de Actividades.</w:t>
      </w:r>
    </w:p>
    <w:p w:rsidR="002A1486" w:rsidRPr="004B40C1" w:rsidRDefault="002A1486" w:rsidP="002A1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IV) Notas al Estado de Flujos de Efectivo</w:t>
      </w:r>
    </w:p>
    <w:p w:rsidR="00A836C7" w:rsidRPr="004B40C1" w:rsidRDefault="00A836C7" w:rsidP="002A14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6C33" w:rsidRPr="004B40C1" w:rsidRDefault="00F76C33" w:rsidP="002A1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1. La integración del Efectivo y Equivalentes al Efectivo se presenta de la siguiente manera:</w:t>
      </w:r>
    </w:p>
    <w:p w:rsidR="00F76C33" w:rsidRPr="004B40C1" w:rsidRDefault="00F76C33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E9AA545" wp14:editId="7DC3025B">
            <wp:extent cx="5613621" cy="1677726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C1" w:rsidRPr="004B40C1" w:rsidRDefault="004B40C1" w:rsidP="00324C82">
      <w:pPr>
        <w:jc w:val="both"/>
        <w:rPr>
          <w:rFonts w:ascii="Arial" w:hAnsi="Arial" w:cs="Arial"/>
          <w:sz w:val="24"/>
          <w:szCs w:val="24"/>
        </w:rPr>
      </w:pPr>
    </w:p>
    <w:p w:rsidR="00F76C33" w:rsidRPr="004B40C1" w:rsidRDefault="00F76C33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2. Las Actividades de Inversión efectivamente pagadas respecto a los bienes muebles e inmuebles, así como los Bienes Muebles e Inmuebles adquiridos en ejercicios anteriores como Patrimonio del Municipio son las que a continuación se detallan:</w:t>
      </w:r>
    </w:p>
    <w:p w:rsidR="00F76C33" w:rsidRPr="004B40C1" w:rsidRDefault="00F76C33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D3E6966" wp14:editId="1E5E5023">
            <wp:extent cx="5611499" cy="3816626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33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3. Conciliación de los Flujos de Efectivo Netos de las Actividades de Operación y los saldos de Resultados del Ejercicio Ahorro/Desahorro.</w:t>
      </w: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3351FA4" wp14:editId="480B90A6">
            <wp:extent cx="5613621" cy="2615979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C1" w:rsidRDefault="004B40C1" w:rsidP="00324C82">
      <w:pPr>
        <w:jc w:val="both"/>
        <w:rPr>
          <w:rFonts w:ascii="Arial" w:hAnsi="Arial" w:cs="Arial"/>
          <w:sz w:val="24"/>
          <w:szCs w:val="24"/>
        </w:rPr>
      </w:pPr>
    </w:p>
    <w:p w:rsidR="009433E1" w:rsidRPr="004B40C1" w:rsidRDefault="009433E1" w:rsidP="00324C82">
      <w:pPr>
        <w:jc w:val="both"/>
        <w:rPr>
          <w:rFonts w:ascii="Arial" w:hAnsi="Arial" w:cs="Arial"/>
          <w:sz w:val="24"/>
          <w:szCs w:val="24"/>
        </w:rPr>
      </w:pPr>
    </w:p>
    <w:p w:rsidR="00324C82" w:rsidRPr="004B40C1" w:rsidRDefault="00324C82" w:rsidP="00324C82">
      <w:pPr>
        <w:jc w:val="both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lastRenderedPageBreak/>
        <w:t>V) Conciliación entre los Ingresos Presupuestarios y Contables, así como entre los Egresos Presupuestarios y los Gastos Contables</w:t>
      </w:r>
    </w:p>
    <w:p w:rsidR="00324C82" w:rsidRDefault="00324C82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La conciliación se presentará atendiendo a lo dispuesto por el “Acuerdo por el que se emite el formato entre los ingresos presupuestarios y contables, así como entre los egresos presupuestarios y los gastos contables” y sus modificaciones.</w:t>
      </w:r>
    </w:p>
    <w:p w:rsidR="00222F79" w:rsidRDefault="00222F79" w:rsidP="00324C82">
      <w:pPr>
        <w:jc w:val="both"/>
        <w:rPr>
          <w:rFonts w:ascii="Arial" w:hAnsi="Arial" w:cs="Arial"/>
          <w:sz w:val="24"/>
          <w:szCs w:val="24"/>
        </w:rPr>
      </w:pPr>
    </w:p>
    <w:p w:rsidR="00324C82" w:rsidRPr="00222F79" w:rsidRDefault="00324C82" w:rsidP="00324C82">
      <w:pPr>
        <w:jc w:val="both"/>
        <w:rPr>
          <w:rFonts w:ascii="Arial" w:hAnsi="Arial" w:cs="Arial"/>
          <w:b/>
          <w:sz w:val="20"/>
          <w:szCs w:val="24"/>
        </w:rPr>
      </w:pPr>
      <w:r w:rsidRPr="00222F79">
        <w:rPr>
          <w:rFonts w:ascii="Arial" w:hAnsi="Arial" w:cs="Arial"/>
          <w:b/>
          <w:sz w:val="20"/>
          <w:szCs w:val="24"/>
        </w:rPr>
        <w:t>Bajo protesta de decir verdad declaramos que las Notas a los Estados Financieros, son razonablemente correctos y son responsabilidad del emisor.</w:t>
      </w: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</w:p>
    <w:p w:rsidR="00324C82" w:rsidRPr="004B40C1" w:rsidRDefault="00324C82" w:rsidP="00222F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______________________________________</w:t>
      </w:r>
    </w:p>
    <w:p w:rsidR="00324C82" w:rsidRPr="004B40C1" w:rsidRDefault="00324C82" w:rsidP="00222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LIC. IRLANDA LOERYTHE BAUMBACH VALENCIA</w:t>
      </w:r>
    </w:p>
    <w:p w:rsidR="00324C82" w:rsidRPr="004B40C1" w:rsidRDefault="00324C82" w:rsidP="00222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TESORERA MUNICIPAL</w:t>
      </w: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</w:p>
    <w:p w:rsidR="00F76C33" w:rsidRPr="004B40C1" w:rsidRDefault="00F76C33" w:rsidP="00324C82">
      <w:pPr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97115F" w:rsidP="00324C82">
      <w:pPr>
        <w:jc w:val="both"/>
        <w:rPr>
          <w:rFonts w:ascii="Arial" w:hAnsi="Arial" w:cs="Arial"/>
          <w:sz w:val="24"/>
          <w:szCs w:val="24"/>
        </w:rPr>
      </w:pPr>
    </w:p>
    <w:sectPr w:rsidR="0097115F" w:rsidRPr="004B40C1" w:rsidSect="00921E9A">
      <w:footerReference w:type="default" r:id="rId19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79" w:rsidRDefault="00222F79" w:rsidP="00222F79">
      <w:pPr>
        <w:spacing w:after="0" w:line="240" w:lineRule="auto"/>
      </w:pPr>
      <w:r>
        <w:separator/>
      </w:r>
    </w:p>
  </w:endnote>
  <w:endnote w:type="continuationSeparator" w:id="0">
    <w:p w:rsidR="00222F79" w:rsidRDefault="00222F79" w:rsidP="0022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3495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2F79" w:rsidRDefault="00222F79">
            <w:pPr>
              <w:pStyle w:val="Piedepgina"/>
              <w:jc w:val="right"/>
            </w:pPr>
            <w:r w:rsidRPr="00222F79">
              <w:rPr>
                <w:bCs/>
                <w:sz w:val="24"/>
                <w:szCs w:val="24"/>
              </w:rPr>
              <w:fldChar w:fldCharType="begin"/>
            </w:r>
            <w:r w:rsidRPr="00222F79">
              <w:rPr>
                <w:bCs/>
              </w:rPr>
              <w:instrText>PAGE</w:instrText>
            </w:r>
            <w:r w:rsidRPr="00222F79">
              <w:rPr>
                <w:bCs/>
                <w:sz w:val="24"/>
                <w:szCs w:val="24"/>
              </w:rPr>
              <w:fldChar w:fldCharType="separate"/>
            </w:r>
            <w:r w:rsidR="00BD362B">
              <w:rPr>
                <w:bCs/>
                <w:noProof/>
              </w:rPr>
              <w:t>1</w:t>
            </w:r>
            <w:r w:rsidRPr="00222F79">
              <w:rPr>
                <w:bCs/>
                <w:sz w:val="24"/>
                <w:szCs w:val="24"/>
              </w:rPr>
              <w:fldChar w:fldCharType="end"/>
            </w:r>
            <w:r w:rsidRPr="00222F79">
              <w:rPr>
                <w:lang w:val="es-ES"/>
              </w:rPr>
              <w:t xml:space="preserve"> de </w:t>
            </w:r>
            <w:r w:rsidRPr="00222F79">
              <w:rPr>
                <w:bCs/>
                <w:sz w:val="24"/>
                <w:szCs w:val="24"/>
              </w:rPr>
              <w:fldChar w:fldCharType="begin"/>
            </w:r>
            <w:r w:rsidRPr="00222F79">
              <w:rPr>
                <w:bCs/>
              </w:rPr>
              <w:instrText>NUMPAGES</w:instrText>
            </w:r>
            <w:r w:rsidRPr="00222F79">
              <w:rPr>
                <w:bCs/>
                <w:sz w:val="24"/>
                <w:szCs w:val="24"/>
              </w:rPr>
              <w:fldChar w:fldCharType="separate"/>
            </w:r>
            <w:r w:rsidR="00BD362B">
              <w:rPr>
                <w:bCs/>
                <w:noProof/>
              </w:rPr>
              <w:t>6</w:t>
            </w:r>
            <w:r w:rsidRPr="00222F7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2F79" w:rsidRDefault="00222F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79" w:rsidRDefault="00222F79" w:rsidP="00222F79">
      <w:pPr>
        <w:spacing w:after="0" w:line="240" w:lineRule="auto"/>
      </w:pPr>
      <w:r>
        <w:separator/>
      </w:r>
    </w:p>
  </w:footnote>
  <w:footnote w:type="continuationSeparator" w:id="0">
    <w:p w:rsidR="00222F79" w:rsidRDefault="00222F79" w:rsidP="0022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8D6"/>
    <w:multiLevelType w:val="hybridMultilevel"/>
    <w:tmpl w:val="BCA49130"/>
    <w:lvl w:ilvl="0" w:tplc="36EEBB2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F3D36"/>
    <w:multiLevelType w:val="hybridMultilevel"/>
    <w:tmpl w:val="FBF8F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5F"/>
    <w:rsid w:val="0007481F"/>
    <w:rsid w:val="000F754F"/>
    <w:rsid w:val="001E389A"/>
    <w:rsid w:val="00222F79"/>
    <w:rsid w:val="002A1486"/>
    <w:rsid w:val="00324C82"/>
    <w:rsid w:val="004B40C1"/>
    <w:rsid w:val="006177FB"/>
    <w:rsid w:val="006C7791"/>
    <w:rsid w:val="00921E9A"/>
    <w:rsid w:val="009433E1"/>
    <w:rsid w:val="0097115F"/>
    <w:rsid w:val="00A836C7"/>
    <w:rsid w:val="00BB424A"/>
    <w:rsid w:val="00BD362B"/>
    <w:rsid w:val="00CA4048"/>
    <w:rsid w:val="00D45CAB"/>
    <w:rsid w:val="00E36177"/>
    <w:rsid w:val="00F76C33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1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1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2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F79"/>
  </w:style>
  <w:style w:type="paragraph" w:styleId="Piedepgina">
    <w:name w:val="footer"/>
    <w:basedOn w:val="Normal"/>
    <w:link w:val="PiedepginaCar"/>
    <w:uiPriority w:val="99"/>
    <w:unhideWhenUsed/>
    <w:rsid w:val="00222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1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1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2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F79"/>
  </w:style>
  <w:style w:type="paragraph" w:styleId="Piedepgina">
    <w:name w:val="footer"/>
    <w:basedOn w:val="Normal"/>
    <w:link w:val="PiedepginaCar"/>
    <w:uiPriority w:val="99"/>
    <w:unhideWhenUsed/>
    <w:rsid w:val="00222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 Rameño Martha Elena</dc:creator>
  <cp:lastModifiedBy>Martínez Rameño Martha Elena</cp:lastModifiedBy>
  <cp:revision>7</cp:revision>
  <cp:lastPrinted>2025-05-14T15:49:00Z</cp:lastPrinted>
  <dcterms:created xsi:type="dcterms:W3CDTF">2025-05-13T17:38:00Z</dcterms:created>
  <dcterms:modified xsi:type="dcterms:W3CDTF">2025-05-14T15:50:00Z</dcterms:modified>
</cp:coreProperties>
</file>