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A45E83" w:rsidRPr="007326BD" w:rsidTr="00A45E83">
        <w:tc>
          <w:tcPr>
            <w:tcW w:w="8978" w:type="dxa"/>
          </w:tcPr>
          <w:p w:rsidR="00FA2397" w:rsidRDefault="00657CA4" w:rsidP="00301134">
            <w:pPr>
              <w:spacing w:after="0" w:line="240" w:lineRule="auto"/>
              <w:jc w:val="center"/>
              <w:rPr>
                <w:rFonts w:ascii="Arial" w:hAnsi="Arial" w:cs="Arial"/>
                <w:b/>
                <w:sz w:val="24"/>
                <w:szCs w:val="28"/>
              </w:rPr>
            </w:pPr>
            <w:bookmarkStart w:id="0" w:name="ente"/>
            <w:bookmarkEnd w:id="0"/>
            <w:r>
              <w:rPr>
                <w:rFonts w:ascii="Arial" w:hAnsi="Arial" w:cs="Arial"/>
                <w:b/>
                <w:sz w:val="24"/>
                <w:szCs w:val="28"/>
              </w:rPr>
              <w:t>MUNICIPIO GUADALAJARA</w:t>
            </w:r>
          </w:p>
          <w:p w:rsidR="00301134" w:rsidRPr="00B2492A" w:rsidRDefault="00301134" w:rsidP="00301134">
            <w:pPr>
              <w:spacing w:after="0" w:line="240" w:lineRule="auto"/>
              <w:jc w:val="center"/>
              <w:rPr>
                <w:rFonts w:ascii="Arial" w:hAnsi="Arial" w:cs="Arial"/>
                <w:b/>
                <w:sz w:val="24"/>
                <w:szCs w:val="28"/>
              </w:rPr>
            </w:pPr>
            <w:r w:rsidRPr="00B2492A">
              <w:rPr>
                <w:rFonts w:ascii="Arial" w:hAnsi="Arial" w:cs="Arial"/>
                <w:b/>
                <w:sz w:val="24"/>
                <w:szCs w:val="28"/>
              </w:rPr>
              <w:t>NOTAS A LOS ESTADOS FINANCIEROS</w:t>
            </w:r>
          </w:p>
          <w:p w:rsidR="00A45E83" w:rsidRPr="005056F4" w:rsidRDefault="00301134" w:rsidP="005056F4">
            <w:pPr>
              <w:spacing w:after="0" w:line="240" w:lineRule="auto"/>
              <w:jc w:val="center"/>
              <w:rPr>
                <w:rFonts w:ascii="Arial" w:hAnsi="Arial" w:cs="Arial"/>
                <w:b/>
                <w:sz w:val="24"/>
                <w:szCs w:val="28"/>
              </w:rPr>
            </w:pPr>
            <w:r w:rsidRPr="00B2492A">
              <w:rPr>
                <w:rFonts w:ascii="Arial" w:hAnsi="Arial" w:cs="Arial"/>
                <w:b/>
                <w:sz w:val="24"/>
                <w:szCs w:val="28"/>
              </w:rPr>
              <w:t>DE DESGLOSE</w:t>
            </w:r>
          </w:p>
          <w:p w:rsidR="00A45E83" w:rsidRPr="002403D3" w:rsidRDefault="00657CA4" w:rsidP="00A45E83">
            <w:pPr>
              <w:spacing w:after="0" w:line="240" w:lineRule="auto"/>
              <w:jc w:val="center"/>
              <w:rPr>
                <w:rFonts w:ascii="Arial" w:hAnsi="Arial" w:cs="Arial"/>
                <w:b/>
                <w:sz w:val="24"/>
                <w:szCs w:val="24"/>
              </w:rPr>
            </w:pPr>
            <w:bookmarkStart w:id="1" w:name="periodo"/>
            <w:bookmarkEnd w:id="1"/>
            <w:r>
              <w:rPr>
                <w:rFonts w:ascii="Arial" w:hAnsi="Arial" w:cs="Arial"/>
                <w:b/>
                <w:sz w:val="24"/>
                <w:szCs w:val="24"/>
              </w:rPr>
              <w:t>DEL 1 DE ENERO AL 31 DE DICIEMBRE DE 2023</w:t>
            </w:r>
          </w:p>
        </w:tc>
      </w:tr>
    </w:tbl>
    <w:p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A45E83" w:rsidRPr="007326BD" w:rsidTr="00A45E83">
        <w:tc>
          <w:tcPr>
            <w:tcW w:w="8978" w:type="dxa"/>
          </w:tcPr>
          <w:p w:rsidR="00657CA4" w:rsidRDefault="00657CA4" w:rsidP="007E5E91">
            <w:pPr>
              <w:autoSpaceDE w:val="0"/>
              <w:autoSpaceDN w:val="0"/>
              <w:adjustRightInd w:val="0"/>
              <w:rPr>
                <w:rFonts w:ascii="Arial" w:hAnsi="Arial" w:cs="Arial"/>
                <w:lang w:eastAsia="es-MX"/>
              </w:rPr>
            </w:pPr>
            <w:bookmarkStart w:id="2" w:name="cuerpo"/>
            <w:bookmarkEnd w:id="2"/>
            <w:r>
              <w:rPr>
                <w:rFonts w:ascii="Arial" w:hAnsi="Arial" w:cs="Arial"/>
                <w:lang w:eastAsia="es-MX"/>
              </w:rPr>
              <w:t>En virtud de las Disposiciones de la Auditoria Superior del Estado de Jalisco, los comparativos se presentan con las cifras de la Balanza Gen</w:t>
            </w:r>
            <w:r w:rsidR="007E5E91">
              <w:rPr>
                <w:rFonts w:ascii="Arial" w:hAnsi="Arial" w:cs="Arial"/>
                <w:lang w:eastAsia="es-MX"/>
              </w:rPr>
              <w:t>eral al 31 de Diciembre de 2022.</w:t>
            </w:r>
          </w:p>
          <w:p w:rsidR="007E5E91" w:rsidRPr="007E5E91" w:rsidRDefault="007E5E91" w:rsidP="007E5E91">
            <w:pPr>
              <w:autoSpaceDE w:val="0"/>
              <w:autoSpaceDN w:val="0"/>
              <w:adjustRightInd w:val="0"/>
              <w:rPr>
                <w:rFonts w:ascii="Arial" w:hAnsi="Arial" w:cs="Arial"/>
                <w:lang w:eastAsia="es-MX"/>
              </w:rPr>
            </w:pPr>
          </w:p>
          <w:p w:rsidR="00657CA4" w:rsidRDefault="00657CA4" w:rsidP="007E5E91">
            <w:pPr>
              <w:autoSpaceDE w:val="0"/>
              <w:autoSpaceDN w:val="0"/>
              <w:adjustRightInd w:val="0"/>
              <w:ind w:left="1080" w:hanging="720"/>
              <w:rPr>
                <w:rFonts w:ascii="Arial" w:hAnsi="Arial" w:cs="Arial"/>
                <w:b/>
                <w:bCs/>
                <w:lang w:eastAsia="es-MX"/>
              </w:rPr>
            </w:pPr>
            <w:r>
              <w:rPr>
                <w:rFonts w:ascii="Arial" w:hAnsi="Arial" w:cs="Arial"/>
                <w:b/>
                <w:bCs/>
                <w:lang w:eastAsia="es-MX"/>
              </w:rPr>
              <w:t>I)</w:t>
            </w:r>
            <w:r>
              <w:rPr>
                <w:rFonts w:ascii="Arial" w:hAnsi="Arial" w:cs="Arial"/>
                <w:b/>
                <w:bCs/>
                <w:lang w:eastAsia="es-MX"/>
              </w:rPr>
              <w:tab/>
              <w:t>Estado de Actividades.</w:t>
            </w:r>
          </w:p>
          <w:p w:rsidR="00657CA4" w:rsidRDefault="00657CA4" w:rsidP="007E5E91">
            <w:pPr>
              <w:autoSpaceDE w:val="0"/>
              <w:autoSpaceDN w:val="0"/>
              <w:adjustRightInd w:val="0"/>
              <w:ind w:left="360"/>
              <w:rPr>
                <w:rFonts w:ascii="Arial" w:hAnsi="Arial" w:cs="Arial"/>
                <w:lang w:eastAsia="es-MX"/>
              </w:rPr>
            </w:pPr>
            <w:r>
              <w:rPr>
                <w:rFonts w:ascii="Arial" w:hAnsi="Arial" w:cs="Arial"/>
                <w:lang w:eastAsia="es-MX"/>
              </w:rPr>
              <w:t>El desglose las cuentas de resultados  se presentan a nivel de concepto de cobro, se proporciona en el Propio Estado de Actividades.</w:t>
            </w:r>
          </w:p>
          <w:p w:rsidR="00657CA4" w:rsidRDefault="00657CA4" w:rsidP="00657CA4">
            <w:pPr>
              <w:autoSpaceDE w:val="0"/>
              <w:autoSpaceDN w:val="0"/>
              <w:adjustRightInd w:val="0"/>
              <w:rPr>
                <w:rFonts w:ascii="Arial" w:hAnsi="Arial" w:cs="Arial"/>
                <w:b/>
                <w:bCs/>
                <w:lang w:eastAsia="es-MX"/>
              </w:rPr>
            </w:pPr>
            <w:r>
              <w:rPr>
                <w:rFonts w:ascii="Arial" w:hAnsi="Arial" w:cs="Arial"/>
                <w:b/>
                <w:bCs/>
                <w:lang w:eastAsia="es-MX"/>
              </w:rPr>
              <w:t>Intereses, comisiones y otros gastos de la Deuda.</w:t>
            </w:r>
          </w:p>
          <w:p w:rsidR="00657CA4" w:rsidRDefault="00657CA4" w:rsidP="00657CA4">
            <w:pPr>
              <w:autoSpaceDE w:val="0"/>
              <w:autoSpaceDN w:val="0"/>
              <w:adjustRightInd w:val="0"/>
              <w:rPr>
                <w:rFonts w:ascii="Arial" w:hAnsi="Arial" w:cs="Arial"/>
                <w:lang w:eastAsia="es-MX"/>
              </w:rPr>
            </w:pPr>
            <w:r>
              <w:rPr>
                <w:rFonts w:ascii="Arial" w:hAnsi="Arial" w:cs="Arial"/>
                <w:lang w:eastAsia="es-MX"/>
              </w:rPr>
              <w:t xml:space="preserve">Los intereses pagados en el ejercicio por concepto de intereses de la deuda asciende a </w:t>
            </w:r>
          </w:p>
          <w:p w:rsidR="00657CA4" w:rsidRDefault="00657CA4" w:rsidP="00657CA4">
            <w:pPr>
              <w:autoSpaceDE w:val="0"/>
              <w:autoSpaceDN w:val="0"/>
              <w:adjustRightInd w:val="0"/>
              <w:rPr>
                <w:rFonts w:ascii="Arial" w:hAnsi="Arial" w:cs="Arial"/>
                <w:b/>
                <w:bCs/>
                <w:lang w:eastAsia="es-MX"/>
              </w:rPr>
            </w:pPr>
            <w:r>
              <w:rPr>
                <w:rFonts w:ascii="Arial" w:hAnsi="Arial" w:cs="Arial"/>
                <w:b/>
                <w:bCs/>
                <w:lang w:eastAsia="es-MX"/>
              </w:rPr>
              <w:t>$ 144,106,863.84</w:t>
            </w:r>
          </w:p>
          <w:p w:rsidR="00657CA4" w:rsidRDefault="00657CA4" w:rsidP="00657CA4">
            <w:pPr>
              <w:autoSpaceDE w:val="0"/>
              <w:autoSpaceDN w:val="0"/>
              <w:adjustRightInd w:val="0"/>
              <w:rPr>
                <w:rFonts w:ascii="Arial" w:hAnsi="Arial" w:cs="Arial"/>
                <w:b/>
                <w:bCs/>
                <w:lang w:eastAsia="es-MX"/>
              </w:rPr>
            </w:pPr>
            <w:r>
              <w:rPr>
                <w:rFonts w:ascii="Arial" w:hAnsi="Arial" w:cs="Arial"/>
                <w:b/>
                <w:bCs/>
                <w:lang w:eastAsia="es-MX"/>
              </w:rPr>
              <w:t>Ingresos Excedentes:</w:t>
            </w: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Son los recursos que durante el ejercicio fiscal se obtienen en exceso de los aprobados en la Ley y, de conformidad con la Ley de Disciplina Financiera, los derivados de ingresos de libre Disposición, se deberán destinar, al menos en un 50%, para la amortización anticipada de la Deuda Publica, el pago de adeudos de ejercicios fiscales anteriores, pasivos circulantes y otras obligaciones en cuyos contratos se haya pactado el pago anticipado son incurrir en penalidades y represente una diminución del saldo registrado en la cuenta pública del cierre del ejercicio inmediato anterior, así como el pago de sentencias definitivas emitidas por la autoridad competente, la aportación a fondos para la atención de desastres naturales y de pensiones.</w:t>
            </w:r>
          </w:p>
          <w:p w:rsidR="00657CA4" w:rsidRDefault="00657CA4" w:rsidP="00657CA4">
            <w:pPr>
              <w:autoSpaceDE w:val="0"/>
              <w:autoSpaceDN w:val="0"/>
              <w:adjustRightInd w:val="0"/>
              <w:rPr>
                <w:rFonts w:ascii="Arial" w:hAnsi="Arial" w:cs="Arial"/>
                <w:lang w:eastAsia="es-MX"/>
              </w:rPr>
            </w:pPr>
            <w:r>
              <w:rPr>
                <w:rFonts w:ascii="Arial" w:hAnsi="Arial" w:cs="Arial"/>
                <w:lang w:eastAsia="es-MX"/>
              </w:rPr>
              <w:t>Dichos excedentes podrán destinarse a reducir el balance presupuestario de recursos disponibles negativo de ejercicios anteriores, a partir de la entrada en vigor de esta Ley y hasta el ejercicios fiscal 2023.</w:t>
            </w:r>
          </w:p>
          <w:p w:rsidR="00657CA4" w:rsidRDefault="00657CA4" w:rsidP="00657CA4">
            <w:pPr>
              <w:autoSpaceDE w:val="0"/>
              <w:autoSpaceDN w:val="0"/>
              <w:adjustRightInd w:val="0"/>
              <w:rPr>
                <w:rFonts w:ascii="Arial" w:hAnsi="Arial" w:cs="Arial"/>
                <w:lang w:eastAsia="es-MX"/>
              </w:rPr>
            </w:pPr>
            <w:r>
              <w:rPr>
                <w:rFonts w:ascii="Arial" w:hAnsi="Arial" w:cs="Arial"/>
                <w:lang w:eastAsia="es-MX"/>
              </w:rPr>
              <w:t>En caso de subsistir remanente aplicara:</w:t>
            </w:r>
          </w:p>
          <w:p w:rsidR="00657CA4" w:rsidRDefault="00657CA4" w:rsidP="00657CA4">
            <w:pPr>
              <w:autoSpaceDE w:val="0"/>
              <w:autoSpaceDN w:val="0"/>
              <w:adjustRightInd w:val="0"/>
              <w:ind w:left="720" w:hanging="360"/>
              <w:rPr>
                <w:rFonts w:ascii="Arial" w:hAnsi="Arial" w:cs="Arial"/>
                <w:lang w:eastAsia="es-MX"/>
              </w:rPr>
            </w:pPr>
            <w:r>
              <w:rPr>
                <w:rFonts w:ascii="Arial" w:hAnsi="Arial" w:cs="Arial"/>
                <w:lang w:eastAsia="es-MX"/>
              </w:rPr>
              <w:t>a)</w:t>
            </w:r>
            <w:r>
              <w:rPr>
                <w:rFonts w:ascii="Arial" w:hAnsi="Arial" w:cs="Arial"/>
                <w:lang w:eastAsia="es-MX"/>
              </w:rPr>
              <w:tab/>
              <w:t>Inversión pública productiva, a través de un fondo que se constituye para tal efecto, con el fin de que los recursos correspondientes se ejerzan a más tardar en el ejercicio inmediato siguientes, y</w:t>
            </w:r>
          </w:p>
          <w:p w:rsidR="00657CA4" w:rsidRDefault="00657CA4" w:rsidP="00657CA4">
            <w:pPr>
              <w:autoSpaceDE w:val="0"/>
              <w:autoSpaceDN w:val="0"/>
              <w:adjustRightInd w:val="0"/>
              <w:ind w:left="720" w:hanging="360"/>
              <w:rPr>
                <w:rFonts w:ascii="Arial" w:hAnsi="Arial" w:cs="Arial"/>
                <w:lang w:eastAsia="es-MX"/>
              </w:rPr>
            </w:pPr>
            <w:r>
              <w:rPr>
                <w:rFonts w:ascii="Arial" w:hAnsi="Arial" w:cs="Arial"/>
                <w:lang w:eastAsia="es-MX"/>
              </w:rPr>
              <w:t>b)</w:t>
            </w:r>
            <w:r>
              <w:rPr>
                <w:rFonts w:ascii="Arial" w:hAnsi="Arial" w:cs="Arial"/>
                <w:lang w:eastAsia="es-MX"/>
              </w:rPr>
              <w:tab/>
              <w:t>La Creación de un fondo cuyo objetivo sea compensar la caída de ingresos de libre disposición de ejercicios subsecuentes.</w:t>
            </w: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 xml:space="preserve">Los ingresos excedentes derivados de ingresos de libre disposición podrán destinarse a </w:t>
            </w:r>
            <w:r>
              <w:rPr>
                <w:rFonts w:ascii="Arial" w:hAnsi="Arial" w:cs="Arial"/>
                <w:lang w:eastAsia="es-MX"/>
              </w:rPr>
              <w:lastRenderedPageBreak/>
              <w:t>los rubros  mencionados en el presente artículo, sin limitación alguna, siempre y cuando en ente público se clasifique en un nivel de endeudamiento sostenible de acuerdo al Sistemas Alertas.</w:t>
            </w:r>
          </w:p>
          <w:p w:rsidR="00657CA4" w:rsidRDefault="00657CA4" w:rsidP="00657CA4">
            <w:pPr>
              <w:autoSpaceDE w:val="0"/>
              <w:autoSpaceDN w:val="0"/>
              <w:adjustRightInd w:val="0"/>
              <w:ind w:left="1146" w:hanging="720"/>
              <w:jc w:val="both"/>
              <w:rPr>
                <w:rFonts w:ascii="Arial" w:hAnsi="Arial" w:cs="Arial"/>
                <w:lang w:eastAsia="es-MX"/>
              </w:rPr>
            </w:pPr>
            <w:r>
              <w:rPr>
                <w:rFonts w:ascii="Arial" w:hAnsi="Arial" w:cs="Arial"/>
                <w:b/>
                <w:bCs/>
                <w:lang w:eastAsia="es-MX"/>
              </w:rPr>
              <w:t>I)</w:t>
            </w:r>
            <w:r>
              <w:rPr>
                <w:rFonts w:ascii="Arial" w:hAnsi="Arial" w:cs="Arial"/>
                <w:b/>
                <w:bCs/>
                <w:lang w:eastAsia="es-MX"/>
              </w:rPr>
              <w:tab/>
              <w:t>NOTAS AL ESTADO DE SITUACION FINANCIERA</w:t>
            </w:r>
          </w:p>
          <w:p w:rsidR="00657CA4" w:rsidRDefault="00657CA4" w:rsidP="00657CA4">
            <w:pPr>
              <w:autoSpaceDE w:val="0"/>
              <w:autoSpaceDN w:val="0"/>
              <w:adjustRightInd w:val="0"/>
              <w:jc w:val="both"/>
              <w:rPr>
                <w:rFonts w:ascii="Arial" w:hAnsi="Arial" w:cs="Arial"/>
                <w:b/>
                <w:bCs/>
                <w:lang w:eastAsia="es-MX"/>
              </w:rPr>
            </w:pPr>
            <w:r>
              <w:rPr>
                <w:rFonts w:ascii="Arial" w:hAnsi="Arial" w:cs="Arial"/>
                <w:b/>
                <w:bCs/>
                <w:lang w:eastAsia="es-MX"/>
              </w:rPr>
              <w:t>ACTIVO</w:t>
            </w:r>
          </w:p>
          <w:p w:rsidR="00657CA4" w:rsidRDefault="00657CA4" w:rsidP="00657CA4">
            <w:pPr>
              <w:autoSpaceDE w:val="0"/>
              <w:autoSpaceDN w:val="0"/>
              <w:adjustRightInd w:val="0"/>
              <w:jc w:val="both"/>
              <w:rPr>
                <w:rFonts w:ascii="Arial" w:hAnsi="Arial" w:cs="Arial"/>
                <w:b/>
                <w:bCs/>
                <w:i/>
                <w:iCs/>
                <w:lang w:eastAsia="es-MX"/>
              </w:rPr>
            </w:pPr>
            <w:r>
              <w:rPr>
                <w:rFonts w:ascii="Arial" w:hAnsi="Arial" w:cs="Arial"/>
                <w:b/>
                <w:bCs/>
                <w:i/>
                <w:iCs/>
                <w:lang w:eastAsia="es-MX"/>
              </w:rPr>
              <w:t>Efectivo y Equivalente:</w:t>
            </w:r>
          </w:p>
          <w:p w:rsidR="00657CA4" w:rsidRDefault="00657CA4" w:rsidP="00657CA4">
            <w:pPr>
              <w:autoSpaceDE w:val="0"/>
              <w:autoSpaceDN w:val="0"/>
              <w:adjustRightInd w:val="0"/>
              <w:spacing w:after="0" w:line="240" w:lineRule="auto"/>
              <w:rPr>
                <w:rFonts w:ascii="Arial" w:hAnsi="Arial" w:cs="Arial"/>
                <w:i/>
                <w:iCs/>
                <w:lang w:eastAsia="es-MX"/>
              </w:rPr>
            </w:pPr>
            <w:r>
              <w:rPr>
                <w:rFonts w:ascii="Arial" w:hAnsi="Arial" w:cs="Arial"/>
                <w:i/>
                <w:iCs/>
                <w:lang w:eastAsia="es-MX"/>
              </w:rPr>
              <w:t>Su importe se analiza a continuación con cifras: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031"/>
              <w:gridCol w:w="1829"/>
            </w:tblGrid>
            <w:tr w:rsidR="00657CA4">
              <w:tc>
                <w:tcPr>
                  <w:tcW w:w="603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Efectivo</w:t>
                  </w:r>
                </w:p>
              </w:tc>
              <w:tc>
                <w:tcPr>
                  <w:tcW w:w="1829"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684,508.77</w:t>
                  </w:r>
                </w:p>
              </w:tc>
            </w:tr>
            <w:tr w:rsidR="00657CA4">
              <w:tc>
                <w:tcPr>
                  <w:tcW w:w="603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Bancos</w:t>
                  </w:r>
                </w:p>
              </w:tc>
              <w:tc>
                <w:tcPr>
                  <w:tcW w:w="1829"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188,457,656.13</w:t>
                  </w:r>
                </w:p>
              </w:tc>
            </w:tr>
            <w:tr w:rsidR="00657CA4">
              <w:tc>
                <w:tcPr>
                  <w:tcW w:w="603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Inversiones Temporales (Hasta 3 Meses)</w:t>
                  </w:r>
                </w:p>
              </w:tc>
              <w:tc>
                <w:tcPr>
                  <w:tcW w:w="1829"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14,543,463.05</w:t>
                  </w:r>
                </w:p>
              </w:tc>
            </w:tr>
            <w:tr w:rsidR="00657CA4">
              <w:tc>
                <w:tcPr>
                  <w:tcW w:w="603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Fondos con Afectación especifica</w:t>
                  </w:r>
                </w:p>
              </w:tc>
              <w:tc>
                <w:tcPr>
                  <w:tcW w:w="1829"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137,939.59 </w:t>
                  </w:r>
                </w:p>
              </w:tc>
            </w:tr>
            <w:tr w:rsidR="00657CA4">
              <w:tc>
                <w:tcPr>
                  <w:tcW w:w="603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Depósitos en Fondos de Terceros en Garantía y/o Administración</w:t>
                  </w:r>
                </w:p>
              </w:tc>
              <w:tc>
                <w:tcPr>
                  <w:tcW w:w="1829"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15,245,659.80 </w:t>
                  </w:r>
                </w:p>
              </w:tc>
            </w:tr>
            <w:tr w:rsidR="00657CA4">
              <w:tc>
                <w:tcPr>
                  <w:tcW w:w="603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Otros Efectivos y Equivalentes</w:t>
                  </w:r>
                </w:p>
              </w:tc>
              <w:tc>
                <w:tcPr>
                  <w:tcW w:w="1829"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625,961.60</w:t>
                  </w:r>
                </w:p>
              </w:tc>
            </w:tr>
            <w:tr w:rsidR="00657CA4">
              <w:tc>
                <w:tcPr>
                  <w:tcW w:w="603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Total de efectivo y equivalentes</w:t>
                  </w:r>
                </w:p>
              </w:tc>
              <w:tc>
                <w:tcPr>
                  <w:tcW w:w="1829"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219,695,188.94</w:t>
                  </w:r>
                </w:p>
              </w:tc>
            </w:tr>
          </w:tbl>
          <w:p w:rsidR="00657CA4" w:rsidRDefault="00657CA4" w:rsidP="00657CA4">
            <w:pPr>
              <w:autoSpaceDE w:val="0"/>
              <w:autoSpaceDN w:val="0"/>
              <w:adjustRightInd w:val="0"/>
              <w:jc w:val="both"/>
              <w:rPr>
                <w:rFonts w:ascii="Arial" w:hAnsi="Arial" w:cs="Arial"/>
                <w:lang w:eastAsia="es-MX"/>
              </w:rPr>
            </w:pPr>
          </w:p>
          <w:p w:rsidR="00657CA4" w:rsidRDefault="00657CA4" w:rsidP="00657CA4">
            <w:pPr>
              <w:autoSpaceDE w:val="0"/>
              <w:autoSpaceDN w:val="0"/>
              <w:adjustRightInd w:val="0"/>
              <w:jc w:val="both"/>
              <w:rPr>
                <w:rFonts w:ascii="Arial" w:hAnsi="Arial" w:cs="Arial"/>
                <w:b/>
                <w:bCs/>
                <w:lang w:eastAsia="es-MX"/>
              </w:rPr>
            </w:pPr>
            <w:r>
              <w:rPr>
                <w:rFonts w:ascii="Arial" w:hAnsi="Arial" w:cs="Arial"/>
                <w:b/>
                <w:bCs/>
                <w:lang w:eastAsia="es-MX"/>
              </w:rPr>
              <w:t xml:space="preserve">Derechos a Recibir Efectivo y Equivalentes a Corto Plazo </w:t>
            </w: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Comprende las siguientes cuentas con cifras preliminares:</w:t>
            </w:r>
          </w:p>
          <w:p w:rsidR="00657CA4" w:rsidRDefault="00657CA4" w:rsidP="00657CA4">
            <w:pPr>
              <w:autoSpaceDE w:val="0"/>
              <w:autoSpaceDN w:val="0"/>
              <w:adjustRightInd w:val="0"/>
              <w:jc w:val="both"/>
              <w:rPr>
                <w:rFonts w:ascii="Arial" w:hAnsi="Arial" w:cs="Arial"/>
                <w:b/>
                <w:bCs/>
                <w:i/>
                <w:iCs/>
                <w:lang w:eastAsia="es-MX"/>
              </w:rPr>
            </w:pPr>
            <w:r>
              <w:rPr>
                <w:rFonts w:ascii="Arial" w:hAnsi="Arial" w:cs="Arial"/>
                <w:b/>
                <w:bCs/>
                <w:i/>
                <w:iCs/>
                <w:lang w:eastAsia="es-MX"/>
              </w:rPr>
              <w:t>Cuentas por cobrar a corto plazo:</w:t>
            </w:r>
          </w:p>
          <w:tbl>
            <w:tblPr>
              <w:tblW w:w="0" w:type="auto"/>
              <w:tblCellMar>
                <w:left w:w="70" w:type="dxa"/>
                <w:right w:w="70" w:type="dxa"/>
              </w:tblCellMar>
              <w:tblLook w:val="0000" w:firstRow="0" w:lastRow="0" w:firstColumn="0" w:lastColumn="0" w:noHBand="0" w:noVBand="0"/>
            </w:tblPr>
            <w:tblGrid>
              <w:gridCol w:w="6394"/>
              <w:gridCol w:w="2268"/>
            </w:tblGrid>
            <w:tr w:rsidR="00657CA4">
              <w:tc>
                <w:tcPr>
                  <w:tcW w:w="6394"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Cheques Devueltos</w:t>
                  </w:r>
                </w:p>
              </w:tc>
              <w:tc>
                <w:tcPr>
                  <w:tcW w:w="2268" w:type="dxa"/>
                  <w:tcBorders>
                    <w:top w:val="single" w:sz="6" w:space="0" w:color="auto"/>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170,307.38</w:t>
                  </w:r>
                </w:p>
              </w:tc>
            </w:tr>
            <w:tr w:rsidR="00657CA4">
              <w:tc>
                <w:tcPr>
                  <w:tcW w:w="639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Recaudación por Terceros</w:t>
                  </w:r>
                </w:p>
              </w:tc>
              <w:tc>
                <w:tcPr>
                  <w:tcW w:w="2268"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250,539.17 </w:t>
                  </w:r>
                </w:p>
              </w:tc>
            </w:tr>
            <w:tr w:rsidR="00657CA4">
              <w:tc>
                <w:tcPr>
                  <w:tcW w:w="639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Programa de apoyo a comerciantes</w:t>
                  </w:r>
                </w:p>
              </w:tc>
              <w:tc>
                <w:tcPr>
                  <w:tcW w:w="2268"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1,679,600.00</w:t>
                  </w:r>
                </w:p>
              </w:tc>
            </w:tr>
            <w:tr w:rsidR="00657CA4">
              <w:tc>
                <w:tcPr>
                  <w:tcW w:w="639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Transferencia erróneas</w:t>
                  </w:r>
                </w:p>
              </w:tc>
              <w:tc>
                <w:tcPr>
                  <w:tcW w:w="2268"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308,394.15 </w:t>
                  </w:r>
                </w:p>
              </w:tc>
            </w:tr>
            <w:tr w:rsidR="00657CA4">
              <w:tc>
                <w:tcPr>
                  <w:tcW w:w="639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Instituciones Bancarias</w:t>
                  </w:r>
                </w:p>
              </w:tc>
              <w:tc>
                <w:tcPr>
                  <w:tcW w:w="2268"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70,546.97</w:t>
                  </w:r>
                </w:p>
              </w:tc>
            </w:tr>
            <w:tr w:rsidR="00657CA4">
              <w:tc>
                <w:tcPr>
                  <w:tcW w:w="639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SEPAF por participaciones</w:t>
                  </w:r>
                </w:p>
              </w:tc>
              <w:tc>
                <w:tcPr>
                  <w:tcW w:w="2268"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1,638,537.38 </w:t>
                  </w:r>
                </w:p>
              </w:tc>
            </w:tr>
            <w:tr w:rsidR="00657CA4">
              <w:tc>
                <w:tcPr>
                  <w:tcW w:w="639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Contratos o convenios</w:t>
                  </w:r>
                </w:p>
              </w:tc>
              <w:tc>
                <w:tcPr>
                  <w:tcW w:w="2268"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34,136.78 </w:t>
                  </w:r>
                </w:p>
              </w:tc>
            </w:tr>
            <w:tr w:rsidR="00657CA4">
              <w:tc>
                <w:tcPr>
                  <w:tcW w:w="639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Venta de Bienes y Prestación de Servicios</w:t>
                  </w:r>
                </w:p>
              </w:tc>
              <w:tc>
                <w:tcPr>
                  <w:tcW w:w="2268"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2,205.30 </w:t>
                  </w:r>
                </w:p>
              </w:tc>
            </w:tr>
            <w:tr w:rsidR="00657CA4">
              <w:tc>
                <w:tcPr>
                  <w:tcW w:w="639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Recursos monetarios federales robados o extraviados</w:t>
                  </w:r>
                </w:p>
              </w:tc>
              <w:tc>
                <w:tcPr>
                  <w:tcW w:w="2268"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7,740.66 </w:t>
                  </w:r>
                </w:p>
              </w:tc>
            </w:tr>
            <w:tr w:rsidR="00657CA4">
              <w:tc>
                <w:tcPr>
                  <w:tcW w:w="6394" w:type="dxa"/>
                  <w:tcBorders>
                    <w:top w:val="nil"/>
                    <w:left w:val="single" w:sz="6" w:space="0" w:color="auto"/>
                    <w:bottom w:val="single" w:sz="6" w:space="0" w:color="auto"/>
                    <w:right w:val="nil"/>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Total de Cuenta por cobrar a corto plazo</w:t>
                  </w:r>
                </w:p>
              </w:tc>
              <w:tc>
                <w:tcPr>
                  <w:tcW w:w="2268"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        4,162,007.79</w:t>
                  </w:r>
                </w:p>
              </w:tc>
            </w:tr>
            <w:tr w:rsidR="00657CA4">
              <w:tc>
                <w:tcPr>
                  <w:tcW w:w="6394" w:type="dxa"/>
                  <w:tcBorders>
                    <w:top w:val="nil"/>
                    <w:left w:val="nil"/>
                    <w:bottom w:val="nil"/>
                    <w:right w:val="nil"/>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w:t>
                  </w:r>
                </w:p>
              </w:tc>
              <w:tc>
                <w:tcPr>
                  <w:tcW w:w="2268" w:type="dxa"/>
                  <w:tcBorders>
                    <w:top w:val="nil"/>
                    <w:left w:val="nil"/>
                    <w:bottom w:val="nil"/>
                    <w:right w:val="nil"/>
                  </w:tcBorders>
                </w:tcPr>
                <w:p w:rsidR="00657CA4" w:rsidRDefault="00657CA4">
                  <w:pPr>
                    <w:autoSpaceDE w:val="0"/>
                    <w:autoSpaceDN w:val="0"/>
                    <w:adjustRightInd w:val="0"/>
                    <w:spacing w:after="0"/>
                    <w:rPr>
                      <w:rFonts w:ascii="Arial" w:hAnsi="Arial" w:cs="Arial"/>
                      <w:b/>
                      <w:bCs/>
                      <w:color w:val="000000"/>
                      <w:sz w:val="20"/>
                      <w:szCs w:val="20"/>
                      <w:lang w:eastAsia="es-MX"/>
                    </w:rPr>
                  </w:pPr>
                </w:p>
              </w:tc>
            </w:tr>
            <w:tr w:rsidR="00657CA4">
              <w:tc>
                <w:tcPr>
                  <w:tcW w:w="6394"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Deudores Diversos por cobrar a corto pazo</w:t>
                  </w:r>
                </w:p>
              </w:tc>
              <w:tc>
                <w:tcPr>
                  <w:tcW w:w="2268" w:type="dxa"/>
                  <w:tcBorders>
                    <w:top w:val="single" w:sz="6" w:space="0" w:color="auto"/>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     10,432,288.98</w:t>
                  </w:r>
                </w:p>
              </w:tc>
            </w:tr>
            <w:tr w:rsidR="00657CA4">
              <w:tc>
                <w:tcPr>
                  <w:tcW w:w="639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Ingresos por recupera a corto plazo</w:t>
                  </w:r>
                </w:p>
              </w:tc>
              <w:tc>
                <w:tcPr>
                  <w:tcW w:w="2268"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       5,271,721.25 </w:t>
                  </w:r>
                </w:p>
              </w:tc>
            </w:tr>
            <w:tr w:rsidR="00657CA4">
              <w:tc>
                <w:tcPr>
                  <w:tcW w:w="639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Deudores por Anticipos de la tesorería a corto plazo</w:t>
                  </w:r>
                </w:p>
              </w:tc>
              <w:tc>
                <w:tcPr>
                  <w:tcW w:w="2268"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         198,538.93 </w:t>
                  </w:r>
                </w:p>
              </w:tc>
            </w:tr>
            <w:tr w:rsidR="00657CA4">
              <w:tc>
                <w:tcPr>
                  <w:tcW w:w="6394" w:type="dxa"/>
                  <w:tcBorders>
                    <w:top w:val="nil"/>
                    <w:left w:val="nil"/>
                    <w:bottom w:val="nil"/>
                    <w:right w:val="nil"/>
                  </w:tcBorders>
                </w:tcPr>
                <w:p w:rsidR="00657CA4" w:rsidRDefault="00657CA4">
                  <w:pPr>
                    <w:autoSpaceDE w:val="0"/>
                    <w:autoSpaceDN w:val="0"/>
                    <w:adjustRightInd w:val="0"/>
                    <w:spacing w:after="0"/>
                    <w:rPr>
                      <w:rFonts w:ascii="Arial" w:hAnsi="Arial" w:cs="Arial"/>
                      <w:color w:val="000000"/>
                      <w:sz w:val="20"/>
                      <w:szCs w:val="20"/>
                      <w:lang w:eastAsia="es-MX"/>
                    </w:rPr>
                  </w:pPr>
                </w:p>
              </w:tc>
              <w:tc>
                <w:tcPr>
                  <w:tcW w:w="2268" w:type="dxa"/>
                  <w:tcBorders>
                    <w:top w:val="nil"/>
                    <w:left w:val="nil"/>
                    <w:bottom w:val="nil"/>
                    <w:right w:val="nil"/>
                  </w:tcBorders>
                </w:tcPr>
                <w:p w:rsidR="00657CA4" w:rsidRDefault="00657CA4">
                  <w:pPr>
                    <w:autoSpaceDE w:val="0"/>
                    <w:autoSpaceDN w:val="0"/>
                    <w:adjustRightInd w:val="0"/>
                    <w:spacing w:after="0"/>
                    <w:rPr>
                      <w:rFonts w:ascii="Arial" w:hAnsi="Arial" w:cs="Arial"/>
                      <w:color w:val="000000"/>
                      <w:sz w:val="20"/>
                      <w:szCs w:val="20"/>
                      <w:lang w:eastAsia="es-MX"/>
                    </w:rPr>
                  </w:pPr>
                </w:p>
              </w:tc>
            </w:tr>
            <w:tr w:rsidR="00657CA4">
              <w:tc>
                <w:tcPr>
                  <w:tcW w:w="6394" w:type="dxa"/>
                  <w:tcBorders>
                    <w:top w:val="nil"/>
                    <w:left w:val="nil"/>
                    <w:bottom w:val="nil"/>
                    <w:right w:val="nil"/>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Total de Derechos a recibir efectivo y equivalentes a corto plazo</w:t>
                  </w:r>
                </w:p>
              </w:tc>
              <w:tc>
                <w:tcPr>
                  <w:tcW w:w="2268" w:type="dxa"/>
                  <w:tcBorders>
                    <w:top w:val="nil"/>
                    <w:left w:val="nil"/>
                    <w:bottom w:val="nil"/>
                    <w:right w:val="nil"/>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     20,064,556.95 </w:t>
                  </w:r>
                </w:p>
              </w:tc>
            </w:tr>
          </w:tbl>
          <w:p w:rsidR="00657CA4" w:rsidRDefault="00657CA4" w:rsidP="00657CA4">
            <w:pPr>
              <w:autoSpaceDE w:val="0"/>
              <w:autoSpaceDN w:val="0"/>
              <w:adjustRightInd w:val="0"/>
              <w:jc w:val="both"/>
              <w:rPr>
                <w:rFonts w:ascii="Arial" w:hAnsi="Arial" w:cs="Arial"/>
                <w:b/>
                <w:bCs/>
                <w:i/>
                <w:iCs/>
                <w:lang w:eastAsia="es-MX"/>
              </w:rPr>
            </w:pPr>
          </w:p>
          <w:p w:rsidR="007E5E91" w:rsidRDefault="00657CA4" w:rsidP="00657CA4">
            <w:pPr>
              <w:autoSpaceDE w:val="0"/>
              <w:autoSpaceDN w:val="0"/>
              <w:adjustRightInd w:val="0"/>
              <w:jc w:val="both"/>
              <w:rPr>
                <w:rFonts w:ascii="Arial" w:hAnsi="Arial" w:cs="Arial"/>
                <w:b/>
                <w:bCs/>
                <w:lang w:eastAsia="es-MX"/>
              </w:rPr>
            </w:pPr>
            <w:r>
              <w:rPr>
                <w:rFonts w:ascii="Arial" w:hAnsi="Arial" w:cs="Arial"/>
                <w:b/>
                <w:bCs/>
                <w:lang w:eastAsia="es-MX"/>
              </w:rPr>
              <w:t xml:space="preserve"> </w:t>
            </w:r>
          </w:p>
          <w:p w:rsidR="007E5E91" w:rsidRDefault="007E5E91" w:rsidP="00657CA4">
            <w:pPr>
              <w:autoSpaceDE w:val="0"/>
              <w:autoSpaceDN w:val="0"/>
              <w:adjustRightInd w:val="0"/>
              <w:jc w:val="both"/>
              <w:rPr>
                <w:rFonts w:ascii="Arial" w:hAnsi="Arial" w:cs="Arial"/>
                <w:b/>
                <w:bCs/>
                <w:lang w:eastAsia="es-MX"/>
              </w:rPr>
            </w:pPr>
          </w:p>
          <w:p w:rsidR="007E5E91" w:rsidRDefault="007E5E91" w:rsidP="00657CA4">
            <w:pPr>
              <w:autoSpaceDE w:val="0"/>
              <w:autoSpaceDN w:val="0"/>
              <w:adjustRightInd w:val="0"/>
              <w:jc w:val="both"/>
              <w:rPr>
                <w:rFonts w:ascii="Arial" w:hAnsi="Arial" w:cs="Arial"/>
                <w:b/>
                <w:bCs/>
                <w:lang w:eastAsia="es-MX"/>
              </w:rPr>
            </w:pPr>
          </w:p>
          <w:p w:rsidR="00657CA4" w:rsidRDefault="00657CA4" w:rsidP="00657CA4">
            <w:pPr>
              <w:autoSpaceDE w:val="0"/>
              <w:autoSpaceDN w:val="0"/>
              <w:adjustRightInd w:val="0"/>
              <w:jc w:val="both"/>
              <w:rPr>
                <w:rFonts w:ascii="Arial" w:hAnsi="Arial" w:cs="Arial"/>
                <w:b/>
                <w:bCs/>
                <w:lang w:eastAsia="es-MX"/>
              </w:rPr>
            </w:pPr>
            <w:r>
              <w:rPr>
                <w:rFonts w:ascii="Arial" w:hAnsi="Arial" w:cs="Arial"/>
                <w:b/>
                <w:bCs/>
                <w:lang w:eastAsia="es-MX"/>
              </w:rPr>
              <w:lastRenderedPageBreak/>
              <w:t>El activo no Circulante comprende lo siguiente:</w:t>
            </w:r>
          </w:p>
          <w:p w:rsidR="00657CA4" w:rsidRDefault="00657CA4" w:rsidP="00657CA4">
            <w:pPr>
              <w:autoSpaceDE w:val="0"/>
              <w:autoSpaceDN w:val="0"/>
              <w:adjustRightInd w:val="0"/>
              <w:jc w:val="both"/>
              <w:rPr>
                <w:rFonts w:ascii="Arial" w:hAnsi="Arial" w:cs="Arial"/>
                <w:b/>
                <w:bCs/>
                <w:lang w:eastAsia="es-MX"/>
              </w:rPr>
            </w:pPr>
            <w:r>
              <w:rPr>
                <w:rFonts w:ascii="Arial" w:hAnsi="Arial" w:cs="Arial"/>
                <w:b/>
                <w:bCs/>
                <w:lang w:eastAsia="es-MX"/>
              </w:rPr>
              <w:t>Inversiones Financieras a largo plazo.</w:t>
            </w: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El saldo al 31 de Diciembre de 2023, principalmente, comprende las aportaciones realizadas en ejercicios anteriores, a los fideicomisos que se mencionan a continuación, así como las operaciones realizadas de conformidad con su objeto:</w:t>
            </w:r>
          </w:p>
          <w:tbl>
            <w:tblPr>
              <w:tblW w:w="0" w:type="auto"/>
              <w:tblCellMar>
                <w:left w:w="70" w:type="dxa"/>
                <w:right w:w="70" w:type="dxa"/>
              </w:tblCellMar>
              <w:tblLook w:val="0000" w:firstRow="0" w:lastRow="0" w:firstColumn="0" w:lastColumn="0" w:noHBand="0" w:noVBand="0"/>
            </w:tblPr>
            <w:tblGrid>
              <w:gridCol w:w="6620"/>
              <w:gridCol w:w="1780"/>
            </w:tblGrid>
            <w:tr w:rsidR="00657CA4">
              <w:tc>
                <w:tcPr>
                  <w:tcW w:w="6620"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Fideicomiso de Turismo Zona metropolitana de Guadalajara</w:t>
                  </w:r>
                </w:p>
              </w:tc>
              <w:tc>
                <w:tcPr>
                  <w:tcW w:w="1780" w:type="dxa"/>
                  <w:tcBorders>
                    <w:top w:val="single" w:sz="6" w:space="0" w:color="auto"/>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$23,560.18</w:t>
                  </w:r>
                </w:p>
              </w:tc>
            </w:tr>
            <w:tr w:rsidR="00657CA4">
              <w:tc>
                <w:tcPr>
                  <w:tcW w:w="6620"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Fideicomiso BBVA 403248-8 Cta. 1000630551</w:t>
                  </w:r>
                </w:p>
              </w:tc>
              <w:tc>
                <w:tcPr>
                  <w:tcW w:w="1780"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$1,723,549.58</w:t>
                  </w:r>
                </w:p>
              </w:tc>
            </w:tr>
            <w:tr w:rsidR="00657CA4">
              <w:tc>
                <w:tcPr>
                  <w:tcW w:w="6620"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proofErr w:type="spellStart"/>
                  <w:r>
                    <w:rPr>
                      <w:rFonts w:ascii="Arial" w:hAnsi="Arial" w:cs="Arial"/>
                      <w:color w:val="000000"/>
                      <w:sz w:val="20"/>
                      <w:szCs w:val="20"/>
                      <w:lang w:eastAsia="es-MX"/>
                    </w:rPr>
                    <w:t>Invex</w:t>
                  </w:r>
                  <w:proofErr w:type="spellEnd"/>
                  <w:r>
                    <w:rPr>
                      <w:rFonts w:ascii="Arial" w:hAnsi="Arial" w:cs="Arial"/>
                      <w:color w:val="000000"/>
                      <w:sz w:val="20"/>
                      <w:szCs w:val="20"/>
                      <w:lang w:eastAsia="es-MX"/>
                    </w:rPr>
                    <w:t>. Fideicomiso 1555/ BANORTE 666918176</w:t>
                  </w:r>
                </w:p>
              </w:tc>
              <w:tc>
                <w:tcPr>
                  <w:tcW w:w="1780"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sz w:val="20"/>
                      <w:szCs w:val="20"/>
                      <w:lang w:eastAsia="es-MX"/>
                    </w:rPr>
                  </w:pPr>
                  <w:r>
                    <w:rPr>
                      <w:rFonts w:ascii="Arial" w:hAnsi="Arial" w:cs="Arial"/>
                      <w:sz w:val="20"/>
                      <w:szCs w:val="20"/>
                      <w:lang w:eastAsia="es-MX"/>
                    </w:rPr>
                    <w:t>$17,079,831.67</w:t>
                  </w:r>
                </w:p>
              </w:tc>
            </w:tr>
            <w:tr w:rsidR="00657CA4">
              <w:tc>
                <w:tcPr>
                  <w:tcW w:w="6620"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proofErr w:type="spellStart"/>
                  <w:r>
                    <w:rPr>
                      <w:rFonts w:ascii="Arial" w:hAnsi="Arial" w:cs="Arial"/>
                      <w:color w:val="000000"/>
                      <w:sz w:val="20"/>
                      <w:szCs w:val="20"/>
                      <w:lang w:eastAsia="es-MX"/>
                    </w:rPr>
                    <w:t>Cta</w:t>
                  </w:r>
                  <w:proofErr w:type="spellEnd"/>
                  <w:r>
                    <w:rPr>
                      <w:rFonts w:ascii="Arial" w:hAnsi="Arial" w:cs="Arial"/>
                      <w:color w:val="000000"/>
                      <w:sz w:val="20"/>
                      <w:szCs w:val="20"/>
                      <w:lang w:eastAsia="es-MX"/>
                    </w:rPr>
                    <w:t xml:space="preserve"> eje </w:t>
                  </w:r>
                  <w:proofErr w:type="spellStart"/>
                  <w:r>
                    <w:rPr>
                      <w:rFonts w:ascii="Arial" w:hAnsi="Arial" w:cs="Arial"/>
                      <w:color w:val="000000"/>
                      <w:sz w:val="20"/>
                      <w:szCs w:val="20"/>
                      <w:lang w:eastAsia="es-MX"/>
                    </w:rPr>
                    <w:t>Multiva</w:t>
                  </w:r>
                  <w:proofErr w:type="spellEnd"/>
                  <w:r>
                    <w:rPr>
                      <w:rFonts w:ascii="Arial" w:hAnsi="Arial" w:cs="Arial"/>
                      <w:color w:val="000000"/>
                      <w:sz w:val="20"/>
                      <w:szCs w:val="20"/>
                      <w:lang w:eastAsia="es-MX"/>
                    </w:rPr>
                    <w:t xml:space="preserve"> 6919774 fideicomiso 4372</w:t>
                  </w:r>
                </w:p>
              </w:tc>
              <w:tc>
                <w:tcPr>
                  <w:tcW w:w="1780"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$93,773,525.79</w:t>
                  </w:r>
                </w:p>
              </w:tc>
            </w:tr>
            <w:tr w:rsidR="00657CA4">
              <w:tc>
                <w:tcPr>
                  <w:tcW w:w="6620"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proofErr w:type="spellStart"/>
                  <w:r>
                    <w:rPr>
                      <w:rFonts w:ascii="Arial" w:hAnsi="Arial" w:cs="Arial"/>
                      <w:color w:val="000000"/>
                      <w:sz w:val="20"/>
                      <w:szCs w:val="20"/>
                      <w:lang w:eastAsia="es-MX"/>
                    </w:rPr>
                    <w:t>Invex</w:t>
                  </w:r>
                  <w:proofErr w:type="spellEnd"/>
                  <w:r>
                    <w:rPr>
                      <w:rFonts w:ascii="Arial" w:hAnsi="Arial" w:cs="Arial"/>
                      <w:color w:val="000000"/>
                      <w:sz w:val="20"/>
                      <w:szCs w:val="20"/>
                      <w:lang w:eastAsia="es-MX"/>
                    </w:rPr>
                    <w:t>, Fideicomiso 1555/Cta. 680009137</w:t>
                  </w:r>
                </w:p>
              </w:tc>
              <w:tc>
                <w:tcPr>
                  <w:tcW w:w="1780"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$315,815,07</w:t>
                  </w:r>
                </w:p>
              </w:tc>
            </w:tr>
            <w:tr w:rsidR="00657CA4">
              <w:tc>
                <w:tcPr>
                  <w:tcW w:w="6620"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proofErr w:type="spellStart"/>
                  <w:r>
                    <w:rPr>
                      <w:rFonts w:ascii="Arial" w:hAnsi="Arial" w:cs="Arial"/>
                      <w:color w:val="000000"/>
                      <w:sz w:val="20"/>
                      <w:szCs w:val="20"/>
                      <w:lang w:eastAsia="es-MX"/>
                    </w:rPr>
                    <w:t>Invex</w:t>
                  </w:r>
                  <w:proofErr w:type="spellEnd"/>
                  <w:r>
                    <w:rPr>
                      <w:rFonts w:ascii="Arial" w:hAnsi="Arial" w:cs="Arial"/>
                      <w:color w:val="000000"/>
                      <w:sz w:val="20"/>
                      <w:szCs w:val="20"/>
                      <w:lang w:eastAsia="es-MX"/>
                    </w:rPr>
                    <w:t xml:space="preserve"> </w:t>
                  </w:r>
                  <w:proofErr w:type="spellStart"/>
                  <w:r>
                    <w:rPr>
                      <w:rFonts w:ascii="Arial" w:hAnsi="Arial" w:cs="Arial"/>
                      <w:color w:val="000000"/>
                      <w:sz w:val="20"/>
                      <w:szCs w:val="20"/>
                      <w:lang w:eastAsia="es-MX"/>
                    </w:rPr>
                    <w:t>Fid</w:t>
                  </w:r>
                  <w:proofErr w:type="spellEnd"/>
                  <w:r>
                    <w:rPr>
                      <w:rFonts w:ascii="Arial" w:hAnsi="Arial" w:cs="Arial"/>
                      <w:color w:val="000000"/>
                      <w:sz w:val="20"/>
                      <w:szCs w:val="20"/>
                      <w:lang w:eastAsia="es-MX"/>
                    </w:rPr>
                    <w:t>. 1555/Fondo de reserva Cta. 0682915568</w:t>
                  </w:r>
                </w:p>
              </w:tc>
              <w:tc>
                <w:tcPr>
                  <w:tcW w:w="1780"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$615,180.81</w:t>
                  </w:r>
                </w:p>
              </w:tc>
            </w:tr>
            <w:tr w:rsidR="00657CA4">
              <w:tc>
                <w:tcPr>
                  <w:tcW w:w="6620"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Fideicomiso Fondo Guadalajara</w:t>
                  </w:r>
                </w:p>
              </w:tc>
              <w:tc>
                <w:tcPr>
                  <w:tcW w:w="1780"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$8,000,000.00</w:t>
                  </w:r>
                </w:p>
              </w:tc>
            </w:tr>
            <w:tr w:rsidR="00657CA4">
              <w:tc>
                <w:tcPr>
                  <w:tcW w:w="6620"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Fideicomiso Expo-Guadalajara</w:t>
                  </w:r>
                </w:p>
              </w:tc>
              <w:tc>
                <w:tcPr>
                  <w:tcW w:w="1780"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$142,155,865.75</w:t>
                  </w:r>
                </w:p>
              </w:tc>
            </w:tr>
            <w:tr w:rsidR="00657CA4">
              <w:tc>
                <w:tcPr>
                  <w:tcW w:w="6620"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Fideicomiso Fondo Guadalajara (programa CUIDEMOS TU EMPLEO)</w:t>
                  </w:r>
                </w:p>
              </w:tc>
              <w:tc>
                <w:tcPr>
                  <w:tcW w:w="1780"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$8,859,407.51</w:t>
                  </w:r>
                </w:p>
              </w:tc>
            </w:tr>
            <w:tr w:rsidR="00657CA4">
              <w:tc>
                <w:tcPr>
                  <w:tcW w:w="6620"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w:t>
                  </w:r>
                </w:p>
              </w:tc>
              <w:tc>
                <w:tcPr>
                  <w:tcW w:w="1780"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w:t>
                  </w:r>
                </w:p>
              </w:tc>
            </w:tr>
            <w:tr w:rsidR="00657CA4">
              <w:tc>
                <w:tcPr>
                  <w:tcW w:w="6620"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TOTAL</w:t>
                  </w:r>
                </w:p>
              </w:tc>
              <w:tc>
                <w:tcPr>
                  <w:tcW w:w="1780"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$272,546,736.36</w:t>
                  </w:r>
                </w:p>
              </w:tc>
            </w:tr>
          </w:tbl>
          <w:p w:rsidR="00657CA4" w:rsidRDefault="00657CA4" w:rsidP="00657CA4">
            <w:pPr>
              <w:autoSpaceDE w:val="0"/>
              <w:autoSpaceDN w:val="0"/>
              <w:adjustRightInd w:val="0"/>
              <w:jc w:val="both"/>
              <w:rPr>
                <w:rFonts w:ascii="Arial" w:hAnsi="Arial" w:cs="Arial"/>
                <w:lang w:eastAsia="es-MX"/>
              </w:rPr>
            </w:pPr>
          </w:p>
          <w:p w:rsidR="00657CA4" w:rsidRDefault="00657CA4" w:rsidP="00657CA4">
            <w:pPr>
              <w:autoSpaceDE w:val="0"/>
              <w:autoSpaceDN w:val="0"/>
              <w:adjustRightInd w:val="0"/>
              <w:jc w:val="both"/>
              <w:rPr>
                <w:rFonts w:ascii="Arial" w:hAnsi="Arial" w:cs="Arial"/>
                <w:b/>
                <w:bCs/>
                <w:lang w:eastAsia="es-MX"/>
              </w:rPr>
            </w:pPr>
            <w:r>
              <w:rPr>
                <w:rFonts w:ascii="Arial" w:hAnsi="Arial" w:cs="Arial"/>
                <w:b/>
                <w:bCs/>
                <w:lang w:eastAsia="es-MX"/>
              </w:rPr>
              <w:t>Bienes Inmuebles, Infraestructura y Construcciones en Proceso.</w:t>
            </w: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El importe de estos bienes al 31 de Diciembre de 2023, se desglosa a continuación:</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11"/>
              <w:gridCol w:w="2126"/>
            </w:tblGrid>
            <w:tr w:rsidR="00657CA4">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Terrenos</w:t>
                  </w:r>
                </w:p>
              </w:tc>
              <w:tc>
                <w:tcPr>
                  <w:tcW w:w="2126"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$389,839,742.58</w:t>
                  </w:r>
                </w:p>
              </w:tc>
            </w:tr>
            <w:tr w:rsidR="00657CA4">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Edificios no Habitacionales</w:t>
                  </w:r>
                </w:p>
              </w:tc>
              <w:tc>
                <w:tcPr>
                  <w:tcW w:w="2126"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$1,297,424,423.35</w:t>
                  </w:r>
                </w:p>
              </w:tc>
            </w:tr>
            <w:tr w:rsidR="00657CA4">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Infraestructura</w:t>
                  </w:r>
                </w:p>
              </w:tc>
              <w:tc>
                <w:tcPr>
                  <w:tcW w:w="2126"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$3,940,485,680.18</w:t>
                  </w:r>
                </w:p>
              </w:tc>
            </w:tr>
            <w:tr w:rsidR="00657CA4">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w:t>
                  </w:r>
                </w:p>
              </w:tc>
              <w:tc>
                <w:tcPr>
                  <w:tcW w:w="2126"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w:t>
                  </w:r>
                </w:p>
              </w:tc>
            </w:tr>
            <w:tr w:rsidR="00657CA4">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Construcciones en proceso de Dominio Publico</w:t>
                  </w:r>
                </w:p>
              </w:tc>
              <w:tc>
                <w:tcPr>
                  <w:tcW w:w="2126"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$2,502,114,880.43</w:t>
                  </w:r>
                </w:p>
              </w:tc>
            </w:tr>
            <w:tr w:rsidR="00657CA4">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Edificación Habitacional en proceso</w:t>
                  </w:r>
                </w:p>
              </w:tc>
              <w:tc>
                <w:tcPr>
                  <w:tcW w:w="2126"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$10,408,075.63</w:t>
                  </w:r>
                </w:p>
              </w:tc>
            </w:tr>
            <w:tr w:rsidR="00657CA4">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Edificación no Habitacional en proceso</w:t>
                  </w:r>
                </w:p>
              </w:tc>
              <w:tc>
                <w:tcPr>
                  <w:tcW w:w="2126"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$1,444,912,765.65</w:t>
                  </w:r>
                </w:p>
              </w:tc>
            </w:tr>
            <w:tr w:rsidR="00657CA4">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Construcciones de obras para el abastecimiento de Agua,</w:t>
                  </w:r>
                </w:p>
              </w:tc>
              <w:tc>
                <w:tcPr>
                  <w:tcW w:w="2126"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$148,312,482.50</w:t>
                  </w:r>
                </w:p>
              </w:tc>
            </w:tr>
            <w:tr w:rsidR="00657CA4">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División de Terrenos y Construcción de Obras de Urbanización</w:t>
                  </w:r>
                </w:p>
              </w:tc>
              <w:tc>
                <w:tcPr>
                  <w:tcW w:w="2126"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$179,648,349.56</w:t>
                  </w:r>
                </w:p>
              </w:tc>
            </w:tr>
            <w:tr w:rsidR="00657CA4">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Construcción de Vías de Comunicación en proceso</w:t>
                  </w:r>
                </w:p>
              </w:tc>
              <w:tc>
                <w:tcPr>
                  <w:tcW w:w="2126"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$635,182,621.34</w:t>
                  </w:r>
                </w:p>
              </w:tc>
            </w:tr>
            <w:tr w:rsidR="00657CA4">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Otras Construcciones de Ingeniería civil y obra</w:t>
                  </w:r>
                </w:p>
              </w:tc>
              <w:tc>
                <w:tcPr>
                  <w:tcW w:w="2126"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$49,481,382.05</w:t>
                  </w:r>
                </w:p>
              </w:tc>
            </w:tr>
            <w:tr w:rsidR="00657CA4">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Trabajos de Acabados en edificaciones y otros</w:t>
                  </w:r>
                </w:p>
              </w:tc>
              <w:tc>
                <w:tcPr>
                  <w:tcW w:w="2126"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$34,169,203.70</w:t>
                  </w:r>
                </w:p>
              </w:tc>
            </w:tr>
            <w:tr w:rsidR="00657CA4">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w:t>
                  </w:r>
                </w:p>
              </w:tc>
              <w:tc>
                <w:tcPr>
                  <w:tcW w:w="2126"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w:t>
                  </w:r>
                </w:p>
              </w:tc>
            </w:tr>
            <w:tr w:rsidR="00657CA4">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Construcciones en proceso en bienes propios</w:t>
                  </w:r>
                </w:p>
              </w:tc>
              <w:tc>
                <w:tcPr>
                  <w:tcW w:w="2126"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$237,883,050.19</w:t>
                  </w:r>
                </w:p>
              </w:tc>
            </w:tr>
            <w:tr w:rsidR="00657CA4">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Total de Bienes inmuebles</w:t>
                  </w:r>
                </w:p>
              </w:tc>
              <w:tc>
                <w:tcPr>
                  <w:tcW w:w="2126"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$8,367,747,776.73</w:t>
                  </w:r>
                </w:p>
              </w:tc>
            </w:tr>
            <w:tr w:rsidR="00657CA4">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p>
              </w:tc>
              <w:tc>
                <w:tcPr>
                  <w:tcW w:w="2126"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p>
              </w:tc>
            </w:tr>
          </w:tbl>
          <w:p w:rsidR="00657CA4" w:rsidRDefault="00657CA4" w:rsidP="00657CA4">
            <w:pPr>
              <w:autoSpaceDE w:val="0"/>
              <w:autoSpaceDN w:val="0"/>
              <w:adjustRightInd w:val="0"/>
              <w:jc w:val="both"/>
              <w:rPr>
                <w:rFonts w:ascii="Arial" w:hAnsi="Arial" w:cs="Arial"/>
                <w:lang w:eastAsia="es-MX"/>
              </w:rPr>
            </w:pPr>
          </w:p>
          <w:p w:rsidR="007E5E91" w:rsidRDefault="007E5E91" w:rsidP="00657CA4">
            <w:pPr>
              <w:autoSpaceDE w:val="0"/>
              <w:autoSpaceDN w:val="0"/>
              <w:adjustRightInd w:val="0"/>
              <w:jc w:val="both"/>
              <w:rPr>
                <w:rFonts w:ascii="Arial" w:hAnsi="Arial" w:cs="Arial"/>
                <w:lang w:eastAsia="es-MX"/>
              </w:rPr>
            </w:pPr>
          </w:p>
          <w:p w:rsidR="00657CA4" w:rsidRDefault="00657CA4" w:rsidP="00657CA4">
            <w:pPr>
              <w:autoSpaceDE w:val="0"/>
              <w:autoSpaceDN w:val="0"/>
              <w:adjustRightInd w:val="0"/>
              <w:jc w:val="both"/>
              <w:rPr>
                <w:rFonts w:ascii="Arial" w:hAnsi="Arial" w:cs="Arial"/>
                <w:b/>
                <w:bCs/>
                <w:lang w:eastAsia="es-MX"/>
              </w:rPr>
            </w:pPr>
          </w:p>
          <w:p w:rsidR="00657CA4" w:rsidRDefault="00657CA4" w:rsidP="00657CA4">
            <w:pPr>
              <w:autoSpaceDE w:val="0"/>
              <w:autoSpaceDN w:val="0"/>
              <w:adjustRightInd w:val="0"/>
              <w:jc w:val="both"/>
              <w:rPr>
                <w:rFonts w:ascii="Arial" w:hAnsi="Arial" w:cs="Arial"/>
                <w:b/>
                <w:bCs/>
                <w:lang w:eastAsia="es-MX"/>
              </w:rPr>
            </w:pPr>
            <w:r>
              <w:rPr>
                <w:rFonts w:ascii="Arial" w:hAnsi="Arial" w:cs="Arial"/>
                <w:b/>
                <w:bCs/>
                <w:lang w:eastAsia="es-MX"/>
              </w:rPr>
              <w:t>Bienes muebles</w:t>
            </w: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lastRenderedPageBreak/>
              <w:t>Su saldo se integra como describe: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00"/>
              <w:gridCol w:w="2122"/>
            </w:tblGrid>
            <w:tr w:rsidR="00657CA4">
              <w:tc>
                <w:tcPr>
                  <w:tcW w:w="6100"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Mobiliario y equipo de administración</w:t>
                  </w:r>
                </w:p>
              </w:tc>
              <w:tc>
                <w:tcPr>
                  <w:tcW w:w="2122"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lang w:eastAsia="es-MX"/>
                    </w:rPr>
                  </w:pPr>
                  <w:r>
                    <w:rPr>
                      <w:rFonts w:cs="Calibri"/>
                      <w:lang w:eastAsia="es-MX"/>
                    </w:rPr>
                    <w:t>$499,128,532.67</w:t>
                  </w:r>
                </w:p>
              </w:tc>
            </w:tr>
            <w:tr w:rsidR="00657CA4">
              <w:tc>
                <w:tcPr>
                  <w:tcW w:w="6100"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Mobiliarios y equipo Educaciones y recreativo</w:t>
                  </w:r>
                </w:p>
              </w:tc>
              <w:tc>
                <w:tcPr>
                  <w:tcW w:w="2122"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lang w:eastAsia="es-MX"/>
                    </w:rPr>
                  </w:pPr>
                  <w:r>
                    <w:rPr>
                      <w:rFonts w:cs="Calibri"/>
                      <w:lang w:eastAsia="es-MX"/>
                    </w:rPr>
                    <w:t>$131,414,635.86</w:t>
                  </w:r>
                </w:p>
              </w:tc>
            </w:tr>
            <w:tr w:rsidR="00657CA4">
              <w:tc>
                <w:tcPr>
                  <w:tcW w:w="6100"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Equipo e Instrumental médico y de laboratorio</w:t>
                  </w:r>
                </w:p>
              </w:tc>
              <w:tc>
                <w:tcPr>
                  <w:tcW w:w="2122"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lang w:eastAsia="es-MX"/>
                    </w:rPr>
                  </w:pPr>
                  <w:r>
                    <w:rPr>
                      <w:rFonts w:cs="Calibri"/>
                      <w:lang w:eastAsia="es-MX"/>
                    </w:rPr>
                    <w:t>$81,555,555.83</w:t>
                  </w:r>
                </w:p>
              </w:tc>
            </w:tr>
            <w:tr w:rsidR="00657CA4">
              <w:tc>
                <w:tcPr>
                  <w:tcW w:w="6100"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Vehículos y equipo de transporte</w:t>
                  </w:r>
                </w:p>
              </w:tc>
              <w:tc>
                <w:tcPr>
                  <w:tcW w:w="2122"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lang w:eastAsia="es-MX"/>
                    </w:rPr>
                  </w:pPr>
                  <w:r>
                    <w:rPr>
                      <w:rFonts w:cs="Calibri"/>
                      <w:lang w:eastAsia="es-MX"/>
                    </w:rPr>
                    <w:t>$803,468,520.03</w:t>
                  </w:r>
                </w:p>
              </w:tc>
            </w:tr>
            <w:tr w:rsidR="00657CA4">
              <w:tc>
                <w:tcPr>
                  <w:tcW w:w="6100"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Equipo de Defensa y seguridad</w:t>
                  </w:r>
                </w:p>
              </w:tc>
              <w:tc>
                <w:tcPr>
                  <w:tcW w:w="2122"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lang w:eastAsia="es-MX"/>
                    </w:rPr>
                  </w:pPr>
                  <w:r>
                    <w:rPr>
                      <w:rFonts w:cs="Calibri"/>
                      <w:lang w:eastAsia="es-MX"/>
                    </w:rPr>
                    <w:t>$107,534,755.29</w:t>
                  </w:r>
                </w:p>
              </w:tc>
            </w:tr>
            <w:tr w:rsidR="00657CA4">
              <w:tc>
                <w:tcPr>
                  <w:tcW w:w="6100"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Maquinaria, otros equipos y herramientas</w:t>
                  </w:r>
                </w:p>
              </w:tc>
              <w:tc>
                <w:tcPr>
                  <w:tcW w:w="2122"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lang w:eastAsia="es-MX"/>
                    </w:rPr>
                  </w:pPr>
                  <w:r>
                    <w:rPr>
                      <w:rFonts w:cs="Calibri"/>
                      <w:lang w:eastAsia="es-MX"/>
                    </w:rPr>
                    <w:t>$483,655,759.04</w:t>
                  </w:r>
                </w:p>
              </w:tc>
            </w:tr>
            <w:tr w:rsidR="00657CA4">
              <w:tc>
                <w:tcPr>
                  <w:tcW w:w="6100"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Colecciones, obras arte y objetos valiosos</w:t>
                  </w:r>
                </w:p>
              </w:tc>
              <w:tc>
                <w:tcPr>
                  <w:tcW w:w="2122"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lang w:eastAsia="es-MX"/>
                    </w:rPr>
                  </w:pPr>
                  <w:r>
                    <w:rPr>
                      <w:rFonts w:cs="Calibri"/>
                      <w:lang w:eastAsia="es-MX"/>
                    </w:rPr>
                    <w:t>$29,273,238.23</w:t>
                  </w:r>
                </w:p>
              </w:tc>
            </w:tr>
            <w:tr w:rsidR="00657CA4">
              <w:tc>
                <w:tcPr>
                  <w:tcW w:w="6100"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Activos Biológicos</w:t>
                  </w:r>
                </w:p>
              </w:tc>
              <w:tc>
                <w:tcPr>
                  <w:tcW w:w="2122"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lang w:eastAsia="es-MX"/>
                    </w:rPr>
                  </w:pPr>
                  <w:r>
                    <w:rPr>
                      <w:rFonts w:cs="Calibri"/>
                      <w:lang w:eastAsia="es-MX"/>
                    </w:rPr>
                    <w:t>$1,233,136.10</w:t>
                  </w:r>
                </w:p>
              </w:tc>
            </w:tr>
            <w:tr w:rsidR="00657CA4">
              <w:tc>
                <w:tcPr>
                  <w:tcW w:w="6100"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Total de bienes muebles</w:t>
                  </w:r>
                </w:p>
              </w:tc>
              <w:tc>
                <w:tcPr>
                  <w:tcW w:w="2122"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b/>
                      <w:bCs/>
                      <w:lang w:eastAsia="es-MX"/>
                    </w:rPr>
                  </w:pPr>
                  <w:r>
                    <w:rPr>
                      <w:rFonts w:cs="Calibri"/>
                      <w:b/>
                      <w:bCs/>
                      <w:lang w:eastAsia="es-MX"/>
                    </w:rPr>
                    <w:t>$2,137,264,133.05</w:t>
                  </w:r>
                </w:p>
              </w:tc>
            </w:tr>
          </w:tbl>
          <w:p w:rsidR="00657CA4" w:rsidRDefault="00657CA4" w:rsidP="00657CA4">
            <w:pPr>
              <w:autoSpaceDE w:val="0"/>
              <w:autoSpaceDN w:val="0"/>
              <w:adjustRightInd w:val="0"/>
              <w:jc w:val="both"/>
              <w:rPr>
                <w:rFonts w:ascii="Arial" w:hAnsi="Arial" w:cs="Arial"/>
                <w:lang w:eastAsia="es-MX"/>
              </w:rPr>
            </w:pPr>
          </w:p>
          <w:p w:rsidR="00657CA4" w:rsidRDefault="00657CA4" w:rsidP="00657CA4">
            <w:pPr>
              <w:autoSpaceDE w:val="0"/>
              <w:autoSpaceDN w:val="0"/>
              <w:adjustRightInd w:val="0"/>
              <w:jc w:val="both"/>
              <w:rPr>
                <w:rFonts w:ascii="Arial" w:hAnsi="Arial" w:cs="Arial"/>
                <w:lang w:eastAsia="es-MX"/>
              </w:rPr>
            </w:pPr>
          </w:p>
          <w:p w:rsidR="00657CA4" w:rsidRDefault="00657CA4" w:rsidP="00657CA4">
            <w:pPr>
              <w:autoSpaceDE w:val="0"/>
              <w:autoSpaceDN w:val="0"/>
              <w:adjustRightInd w:val="0"/>
              <w:jc w:val="both"/>
              <w:rPr>
                <w:rFonts w:ascii="Arial" w:hAnsi="Arial" w:cs="Arial"/>
                <w:b/>
                <w:bCs/>
                <w:lang w:eastAsia="es-MX"/>
              </w:rPr>
            </w:pPr>
            <w:r>
              <w:rPr>
                <w:rFonts w:ascii="Arial" w:hAnsi="Arial" w:cs="Arial"/>
                <w:b/>
                <w:bCs/>
                <w:lang w:eastAsia="es-MX"/>
              </w:rPr>
              <w:t xml:space="preserve">Estimaciones y Deterioros </w:t>
            </w: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No se tiene inidentificadas causas de deterioro que afecten el valor de los activos reconocidos contablemente, que son propiedad del Municipio.</w:t>
            </w:r>
          </w:p>
          <w:p w:rsidR="00657CA4" w:rsidRDefault="00657CA4" w:rsidP="00657CA4">
            <w:pPr>
              <w:autoSpaceDE w:val="0"/>
              <w:autoSpaceDN w:val="0"/>
              <w:adjustRightInd w:val="0"/>
              <w:jc w:val="both"/>
              <w:rPr>
                <w:rFonts w:ascii="Arial" w:hAnsi="Arial" w:cs="Arial"/>
                <w:b/>
                <w:bCs/>
                <w:lang w:eastAsia="es-MX"/>
              </w:rPr>
            </w:pPr>
            <w:r>
              <w:rPr>
                <w:rFonts w:ascii="Arial" w:hAnsi="Arial" w:cs="Arial"/>
                <w:b/>
                <w:bCs/>
                <w:lang w:eastAsia="es-MX"/>
              </w:rPr>
              <w:t>Otros Activos</w:t>
            </w: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Su importe se refiere, principalmente, a cierto software adquirido por el Municipio y los derechos pagados por  el registro de la patente de la mascota oficial de los Juegos Panamericanos 2011.</w:t>
            </w:r>
          </w:p>
          <w:p w:rsidR="00657CA4" w:rsidRDefault="00657CA4" w:rsidP="00657CA4">
            <w:pPr>
              <w:autoSpaceDE w:val="0"/>
              <w:autoSpaceDN w:val="0"/>
              <w:adjustRightInd w:val="0"/>
              <w:jc w:val="both"/>
              <w:rPr>
                <w:rFonts w:ascii="Arial" w:hAnsi="Arial" w:cs="Arial"/>
                <w:lang w:eastAsia="es-MX"/>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11"/>
              <w:gridCol w:w="2126"/>
            </w:tblGrid>
            <w:tr w:rsidR="00657CA4">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lang w:eastAsia="es-MX"/>
                    </w:rPr>
                  </w:pPr>
                  <w:r>
                    <w:rPr>
                      <w:rFonts w:ascii="Arial" w:hAnsi="Arial" w:cs="Arial"/>
                      <w:color w:val="000000"/>
                      <w:lang w:eastAsia="es-MX"/>
                    </w:rPr>
                    <w:t>Software</w:t>
                  </w:r>
                </w:p>
              </w:tc>
              <w:tc>
                <w:tcPr>
                  <w:tcW w:w="2126"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lang w:eastAsia="es-MX"/>
                    </w:rPr>
                  </w:pPr>
                  <w:r>
                    <w:rPr>
                      <w:rFonts w:cs="Calibri"/>
                      <w:lang w:eastAsia="es-MX"/>
                    </w:rPr>
                    <w:t>$72,551,469.53</w:t>
                  </w:r>
                </w:p>
              </w:tc>
            </w:tr>
            <w:tr w:rsidR="00657CA4">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lang w:eastAsia="es-MX"/>
                    </w:rPr>
                  </w:pPr>
                  <w:r>
                    <w:rPr>
                      <w:rFonts w:ascii="Arial" w:hAnsi="Arial" w:cs="Arial"/>
                      <w:color w:val="000000"/>
                      <w:lang w:eastAsia="es-MX"/>
                    </w:rPr>
                    <w:t>Patentes, Marcas y Derechos</w:t>
                  </w:r>
                </w:p>
              </w:tc>
              <w:tc>
                <w:tcPr>
                  <w:tcW w:w="2126"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lang w:eastAsia="es-MX"/>
                    </w:rPr>
                  </w:pPr>
                  <w:r>
                    <w:rPr>
                      <w:rFonts w:cs="Calibri"/>
                      <w:lang w:eastAsia="es-MX"/>
                    </w:rPr>
                    <w:t>$15,256,513.12</w:t>
                  </w:r>
                </w:p>
              </w:tc>
            </w:tr>
            <w:tr w:rsidR="00657CA4">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lang w:eastAsia="es-MX"/>
                    </w:rPr>
                  </w:pPr>
                  <w:r>
                    <w:rPr>
                      <w:rFonts w:ascii="Arial" w:hAnsi="Arial" w:cs="Arial"/>
                      <w:color w:val="000000"/>
                      <w:lang w:eastAsia="es-MX"/>
                    </w:rPr>
                    <w:t>Concesiones y Franquicias</w:t>
                  </w:r>
                </w:p>
              </w:tc>
              <w:tc>
                <w:tcPr>
                  <w:tcW w:w="2126"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lang w:eastAsia="es-MX"/>
                    </w:rPr>
                  </w:pPr>
                  <w:r>
                    <w:rPr>
                      <w:rFonts w:cs="Calibri"/>
                      <w:lang w:eastAsia="es-MX"/>
                    </w:rPr>
                    <w:t>$86,727,196.57</w:t>
                  </w:r>
                </w:p>
              </w:tc>
            </w:tr>
            <w:tr w:rsidR="00657CA4">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lang w:eastAsia="es-MX"/>
                    </w:rPr>
                  </w:pPr>
                  <w:r>
                    <w:rPr>
                      <w:rFonts w:ascii="Arial" w:hAnsi="Arial" w:cs="Arial"/>
                      <w:color w:val="000000"/>
                      <w:lang w:eastAsia="es-MX"/>
                    </w:rPr>
                    <w:t>Licencias</w:t>
                  </w:r>
                </w:p>
              </w:tc>
              <w:tc>
                <w:tcPr>
                  <w:tcW w:w="2126"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lang w:eastAsia="es-MX"/>
                    </w:rPr>
                  </w:pPr>
                  <w:r>
                    <w:rPr>
                      <w:rFonts w:cs="Calibri"/>
                      <w:lang w:eastAsia="es-MX"/>
                    </w:rPr>
                    <w:t>$5,291,245.37</w:t>
                  </w:r>
                </w:p>
              </w:tc>
            </w:tr>
            <w:tr w:rsidR="00657CA4">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lang w:eastAsia="es-MX"/>
                    </w:rPr>
                  </w:pPr>
                  <w:r>
                    <w:rPr>
                      <w:rFonts w:ascii="Arial" w:hAnsi="Arial" w:cs="Arial"/>
                      <w:color w:val="000000"/>
                      <w:lang w:eastAsia="es-MX"/>
                    </w:rPr>
                    <w:t>Otros Activos Intangibles</w:t>
                  </w:r>
                </w:p>
              </w:tc>
              <w:tc>
                <w:tcPr>
                  <w:tcW w:w="2126"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lang w:eastAsia="es-MX"/>
                    </w:rPr>
                  </w:pPr>
                  <w:r>
                    <w:rPr>
                      <w:rFonts w:cs="Calibri"/>
                      <w:lang w:eastAsia="es-MX"/>
                    </w:rPr>
                    <w:t>$8,431,710.40</w:t>
                  </w:r>
                </w:p>
              </w:tc>
            </w:tr>
            <w:tr w:rsidR="00657CA4">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lang w:eastAsia="es-MX"/>
                    </w:rPr>
                  </w:pPr>
                  <w:r>
                    <w:rPr>
                      <w:rFonts w:ascii="Arial" w:hAnsi="Arial" w:cs="Arial"/>
                      <w:b/>
                      <w:bCs/>
                      <w:color w:val="000000"/>
                      <w:lang w:eastAsia="es-MX"/>
                    </w:rPr>
                    <w:t>total de Activos Intangibles</w:t>
                  </w:r>
                </w:p>
              </w:tc>
              <w:tc>
                <w:tcPr>
                  <w:tcW w:w="2126"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b/>
                      <w:bCs/>
                      <w:lang w:eastAsia="es-MX"/>
                    </w:rPr>
                  </w:pPr>
                  <w:r>
                    <w:rPr>
                      <w:rFonts w:cs="Calibri"/>
                      <w:b/>
                      <w:bCs/>
                      <w:lang w:eastAsia="es-MX"/>
                    </w:rPr>
                    <w:t>$188,258,134.99</w:t>
                  </w:r>
                </w:p>
              </w:tc>
            </w:tr>
          </w:tbl>
          <w:p w:rsidR="00657CA4" w:rsidRDefault="00657CA4" w:rsidP="00657CA4">
            <w:pPr>
              <w:autoSpaceDE w:val="0"/>
              <w:autoSpaceDN w:val="0"/>
              <w:adjustRightInd w:val="0"/>
              <w:jc w:val="both"/>
              <w:rPr>
                <w:rFonts w:ascii="Arial" w:hAnsi="Arial" w:cs="Arial"/>
                <w:b/>
                <w:bCs/>
                <w:lang w:eastAsia="es-MX"/>
              </w:rPr>
            </w:pPr>
          </w:p>
          <w:p w:rsidR="00657CA4" w:rsidRDefault="00657CA4" w:rsidP="00657CA4">
            <w:pPr>
              <w:autoSpaceDE w:val="0"/>
              <w:autoSpaceDN w:val="0"/>
              <w:adjustRightInd w:val="0"/>
              <w:jc w:val="both"/>
              <w:rPr>
                <w:rFonts w:ascii="Arial" w:hAnsi="Arial" w:cs="Arial"/>
                <w:lang w:eastAsia="es-MX"/>
              </w:rPr>
            </w:pPr>
          </w:p>
          <w:p w:rsidR="007E5E91" w:rsidRDefault="007E5E91" w:rsidP="00657CA4">
            <w:pPr>
              <w:autoSpaceDE w:val="0"/>
              <w:autoSpaceDN w:val="0"/>
              <w:adjustRightInd w:val="0"/>
              <w:jc w:val="both"/>
              <w:rPr>
                <w:rFonts w:ascii="Arial" w:hAnsi="Arial" w:cs="Arial"/>
                <w:lang w:eastAsia="es-MX"/>
              </w:rPr>
            </w:pPr>
          </w:p>
          <w:p w:rsidR="00657CA4" w:rsidRDefault="00657CA4" w:rsidP="00657CA4">
            <w:pPr>
              <w:autoSpaceDE w:val="0"/>
              <w:autoSpaceDN w:val="0"/>
              <w:adjustRightInd w:val="0"/>
              <w:jc w:val="both"/>
              <w:rPr>
                <w:rFonts w:ascii="Arial" w:hAnsi="Arial" w:cs="Arial"/>
                <w:lang w:eastAsia="es-MX"/>
              </w:rPr>
            </w:pPr>
          </w:p>
          <w:p w:rsidR="00657CA4" w:rsidRDefault="00657CA4" w:rsidP="00657CA4">
            <w:pPr>
              <w:autoSpaceDE w:val="0"/>
              <w:autoSpaceDN w:val="0"/>
              <w:adjustRightInd w:val="0"/>
              <w:jc w:val="both"/>
              <w:rPr>
                <w:rFonts w:ascii="Arial" w:hAnsi="Arial" w:cs="Arial"/>
                <w:lang w:eastAsia="es-MX"/>
              </w:rPr>
            </w:pPr>
          </w:p>
          <w:p w:rsidR="00657CA4" w:rsidRDefault="00657CA4" w:rsidP="00657CA4">
            <w:pPr>
              <w:autoSpaceDE w:val="0"/>
              <w:autoSpaceDN w:val="0"/>
              <w:adjustRightInd w:val="0"/>
              <w:jc w:val="both"/>
              <w:rPr>
                <w:rFonts w:ascii="Arial" w:hAnsi="Arial" w:cs="Arial"/>
                <w:b/>
                <w:bCs/>
                <w:lang w:eastAsia="es-MX"/>
              </w:rPr>
            </w:pPr>
            <w:r>
              <w:rPr>
                <w:rFonts w:ascii="Arial" w:hAnsi="Arial" w:cs="Arial"/>
                <w:b/>
                <w:bCs/>
                <w:lang w:eastAsia="es-MX"/>
              </w:rPr>
              <w:t>PASIVO</w:t>
            </w:r>
          </w:p>
          <w:p w:rsidR="00657CA4" w:rsidRDefault="00657CA4" w:rsidP="00657CA4">
            <w:pPr>
              <w:autoSpaceDE w:val="0"/>
              <w:autoSpaceDN w:val="0"/>
              <w:adjustRightInd w:val="0"/>
              <w:jc w:val="both"/>
              <w:rPr>
                <w:rFonts w:ascii="Arial" w:hAnsi="Arial" w:cs="Arial"/>
                <w:b/>
                <w:bCs/>
                <w:lang w:eastAsia="es-MX"/>
              </w:rPr>
            </w:pPr>
            <w:r>
              <w:rPr>
                <w:rFonts w:ascii="Arial" w:hAnsi="Arial" w:cs="Arial"/>
                <w:b/>
                <w:bCs/>
                <w:lang w:eastAsia="es-MX"/>
              </w:rPr>
              <w:t>Cuentas y Documentos por pagar a corto plazo</w:t>
            </w: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lastRenderedPageBreak/>
              <w:t xml:space="preserve"> Las cuentas y documentos por pagar a corto plazo, al 31 de Diciembre de 2023 se integran como sigue: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80"/>
              <w:gridCol w:w="2282"/>
            </w:tblGrid>
            <w:tr w:rsidR="00657CA4">
              <w:tc>
                <w:tcPr>
                  <w:tcW w:w="6380"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Servicios personales por pagar a corto plazo</w:t>
                  </w:r>
                </w:p>
              </w:tc>
              <w:tc>
                <w:tcPr>
                  <w:tcW w:w="2282"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lang w:eastAsia="es-MX"/>
                    </w:rPr>
                  </w:pPr>
                  <w:r>
                    <w:rPr>
                      <w:rFonts w:cs="Calibri"/>
                      <w:lang w:eastAsia="es-MX"/>
                    </w:rPr>
                    <w:t>$90,714,988.20</w:t>
                  </w:r>
                </w:p>
              </w:tc>
            </w:tr>
            <w:tr w:rsidR="00657CA4">
              <w:tc>
                <w:tcPr>
                  <w:tcW w:w="6380"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Proveedores por pagar a corto plazo</w:t>
                  </w:r>
                </w:p>
              </w:tc>
              <w:tc>
                <w:tcPr>
                  <w:tcW w:w="2282"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lang w:eastAsia="es-MX"/>
                    </w:rPr>
                  </w:pPr>
                  <w:r>
                    <w:rPr>
                      <w:rFonts w:cs="Calibri"/>
                      <w:lang w:eastAsia="es-MX"/>
                    </w:rPr>
                    <w:t>$207,134,682.32</w:t>
                  </w:r>
                </w:p>
              </w:tc>
            </w:tr>
            <w:tr w:rsidR="00657CA4">
              <w:tc>
                <w:tcPr>
                  <w:tcW w:w="6380"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Contratistas por obas públicas por pagar a corto plazo</w:t>
                  </w:r>
                </w:p>
              </w:tc>
              <w:tc>
                <w:tcPr>
                  <w:tcW w:w="2282"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lang w:eastAsia="es-MX"/>
                    </w:rPr>
                  </w:pPr>
                  <w:r>
                    <w:rPr>
                      <w:rFonts w:cs="Calibri"/>
                      <w:lang w:eastAsia="es-MX"/>
                    </w:rPr>
                    <w:t>$51,745,614.08</w:t>
                  </w:r>
                </w:p>
              </w:tc>
            </w:tr>
            <w:tr w:rsidR="00657CA4">
              <w:tc>
                <w:tcPr>
                  <w:tcW w:w="6380"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Transferencias otorgadas por pagar a corto plazo</w:t>
                  </w:r>
                </w:p>
              </w:tc>
              <w:tc>
                <w:tcPr>
                  <w:tcW w:w="2282"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lang w:eastAsia="es-MX"/>
                    </w:rPr>
                  </w:pPr>
                  <w:r>
                    <w:rPr>
                      <w:rFonts w:cs="Calibri"/>
                      <w:lang w:eastAsia="es-MX"/>
                    </w:rPr>
                    <w:t>$92,378,909.62</w:t>
                  </w:r>
                </w:p>
              </w:tc>
            </w:tr>
            <w:tr w:rsidR="00657CA4">
              <w:tc>
                <w:tcPr>
                  <w:tcW w:w="6380"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Retenciones y contribuciones por pagar a corto plazo</w:t>
                  </w:r>
                </w:p>
              </w:tc>
              <w:tc>
                <w:tcPr>
                  <w:tcW w:w="2282"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lang w:eastAsia="es-MX"/>
                    </w:rPr>
                  </w:pPr>
                  <w:r>
                    <w:rPr>
                      <w:rFonts w:cs="Calibri"/>
                      <w:lang w:eastAsia="es-MX"/>
                    </w:rPr>
                    <w:t>$117,919,421.04</w:t>
                  </w:r>
                </w:p>
              </w:tc>
            </w:tr>
            <w:tr w:rsidR="00657CA4">
              <w:tc>
                <w:tcPr>
                  <w:tcW w:w="6380"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Devolución de la ley de ingresos por pagar a corto plazo</w:t>
                  </w:r>
                </w:p>
              </w:tc>
              <w:tc>
                <w:tcPr>
                  <w:tcW w:w="2282"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lang w:eastAsia="es-MX"/>
                    </w:rPr>
                  </w:pPr>
                  <w:r>
                    <w:rPr>
                      <w:rFonts w:cs="Calibri"/>
                      <w:lang w:eastAsia="es-MX"/>
                    </w:rPr>
                    <w:t>$8,703,218.73</w:t>
                  </w:r>
                </w:p>
              </w:tc>
            </w:tr>
            <w:tr w:rsidR="00657CA4">
              <w:tc>
                <w:tcPr>
                  <w:tcW w:w="6380"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Otras cuentas por pagar a corto plazo</w:t>
                  </w:r>
                </w:p>
              </w:tc>
              <w:tc>
                <w:tcPr>
                  <w:tcW w:w="2282"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lang w:eastAsia="es-MX"/>
                    </w:rPr>
                  </w:pPr>
                  <w:r>
                    <w:rPr>
                      <w:rFonts w:cs="Calibri"/>
                      <w:lang w:eastAsia="es-MX"/>
                    </w:rPr>
                    <w:t>$4,531,083.42</w:t>
                  </w:r>
                </w:p>
              </w:tc>
            </w:tr>
            <w:tr w:rsidR="00657CA4">
              <w:tc>
                <w:tcPr>
                  <w:tcW w:w="6380"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Total de cuentas por pagar a corto plazo</w:t>
                  </w:r>
                </w:p>
              </w:tc>
              <w:tc>
                <w:tcPr>
                  <w:tcW w:w="2282"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b/>
                      <w:bCs/>
                      <w:lang w:eastAsia="es-MX"/>
                    </w:rPr>
                  </w:pPr>
                  <w:r>
                    <w:rPr>
                      <w:rFonts w:cs="Calibri"/>
                      <w:b/>
                      <w:bCs/>
                      <w:lang w:eastAsia="es-MX"/>
                    </w:rPr>
                    <w:t>$573,127,917.41</w:t>
                  </w:r>
                </w:p>
              </w:tc>
            </w:tr>
          </w:tbl>
          <w:p w:rsidR="00657CA4" w:rsidRDefault="00657CA4" w:rsidP="00657CA4">
            <w:pPr>
              <w:autoSpaceDE w:val="0"/>
              <w:autoSpaceDN w:val="0"/>
              <w:adjustRightInd w:val="0"/>
              <w:jc w:val="both"/>
              <w:rPr>
                <w:rFonts w:ascii="Arial" w:hAnsi="Arial" w:cs="Arial"/>
                <w:b/>
                <w:bCs/>
                <w:lang w:eastAsia="es-MX"/>
              </w:rPr>
            </w:pP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Se tiene detectadas ciertas situaciones que derivando en el registro contable de pasivos que a la fecha no son exigibles y que han sido cuantificados</w:t>
            </w:r>
          </w:p>
          <w:p w:rsidR="00657CA4" w:rsidRDefault="00657CA4" w:rsidP="00657CA4">
            <w:pPr>
              <w:autoSpaceDE w:val="0"/>
              <w:autoSpaceDN w:val="0"/>
              <w:adjustRightInd w:val="0"/>
              <w:jc w:val="both"/>
              <w:rPr>
                <w:rFonts w:ascii="Arial" w:hAnsi="Arial" w:cs="Arial"/>
                <w:lang w:eastAsia="es-MX"/>
              </w:rPr>
            </w:pPr>
          </w:p>
          <w:p w:rsidR="00657CA4" w:rsidRDefault="00657CA4" w:rsidP="00657CA4">
            <w:pPr>
              <w:autoSpaceDE w:val="0"/>
              <w:autoSpaceDN w:val="0"/>
              <w:adjustRightInd w:val="0"/>
              <w:jc w:val="both"/>
              <w:rPr>
                <w:rFonts w:ascii="Arial" w:hAnsi="Arial" w:cs="Arial"/>
                <w:b/>
                <w:bCs/>
                <w:lang w:eastAsia="es-MX"/>
              </w:rPr>
            </w:pPr>
            <w:r>
              <w:rPr>
                <w:rFonts w:ascii="Arial" w:hAnsi="Arial" w:cs="Arial"/>
                <w:b/>
                <w:bCs/>
                <w:lang w:eastAsia="es-MX"/>
              </w:rPr>
              <w:t>Deuda pública</w:t>
            </w: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Se conforma como a continuación se señala:</w:t>
            </w:r>
          </w:p>
          <w:tbl>
            <w:tblPr>
              <w:tblW w:w="0" w:type="auto"/>
              <w:tblCellMar>
                <w:left w:w="70" w:type="dxa"/>
                <w:right w:w="70" w:type="dxa"/>
              </w:tblCellMar>
              <w:tblLook w:val="0000" w:firstRow="0" w:lastRow="0" w:firstColumn="0" w:lastColumn="0" w:noHBand="0" w:noVBand="0"/>
            </w:tblPr>
            <w:tblGrid>
              <w:gridCol w:w="2998"/>
              <w:gridCol w:w="1758"/>
              <w:gridCol w:w="1995"/>
              <w:gridCol w:w="1995"/>
            </w:tblGrid>
            <w:tr w:rsidR="00657CA4">
              <w:tc>
                <w:tcPr>
                  <w:tcW w:w="3420" w:type="dxa"/>
                  <w:tcBorders>
                    <w:top w:val="single" w:sz="6" w:space="0" w:color="auto"/>
                    <w:left w:val="single" w:sz="6" w:space="0" w:color="auto"/>
                    <w:bottom w:val="single" w:sz="6" w:space="0" w:color="auto"/>
                    <w:right w:val="nil"/>
                  </w:tcBorders>
                </w:tcPr>
                <w:p w:rsidR="00657CA4" w:rsidRDefault="00657CA4">
                  <w:pPr>
                    <w:autoSpaceDE w:val="0"/>
                    <w:autoSpaceDN w:val="0"/>
                    <w:adjustRightInd w:val="0"/>
                    <w:spacing w:after="0"/>
                    <w:rPr>
                      <w:rFonts w:ascii="Arial" w:hAnsi="Arial" w:cs="Arial"/>
                      <w:b/>
                      <w:bCs/>
                      <w:color w:val="000000"/>
                      <w:lang w:eastAsia="es-MX"/>
                    </w:rPr>
                  </w:pPr>
                  <w:r>
                    <w:rPr>
                      <w:rFonts w:ascii="Arial" w:hAnsi="Arial" w:cs="Arial"/>
                      <w:b/>
                      <w:bCs/>
                      <w:color w:val="000000"/>
                      <w:lang w:eastAsia="es-MX"/>
                    </w:rPr>
                    <w:t>Institución Bancaria</w:t>
                  </w:r>
                </w:p>
              </w:tc>
              <w:tc>
                <w:tcPr>
                  <w:tcW w:w="1840"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lang w:eastAsia="es-MX"/>
                    </w:rPr>
                  </w:pPr>
                  <w:r>
                    <w:rPr>
                      <w:rFonts w:ascii="Arial" w:hAnsi="Arial" w:cs="Arial"/>
                      <w:b/>
                      <w:bCs/>
                      <w:color w:val="000000"/>
                      <w:lang w:eastAsia="es-MX"/>
                    </w:rPr>
                    <w:t>Corto plazo</w:t>
                  </w:r>
                </w:p>
              </w:tc>
              <w:tc>
                <w:tcPr>
                  <w:tcW w:w="2040" w:type="dxa"/>
                  <w:tcBorders>
                    <w:top w:val="single" w:sz="6" w:space="0" w:color="auto"/>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lang w:eastAsia="es-MX"/>
                    </w:rPr>
                  </w:pPr>
                  <w:r>
                    <w:rPr>
                      <w:rFonts w:ascii="Arial" w:hAnsi="Arial" w:cs="Arial"/>
                      <w:b/>
                      <w:bCs/>
                      <w:color w:val="000000"/>
                      <w:lang w:eastAsia="es-MX"/>
                    </w:rPr>
                    <w:t>Largo Plazo</w:t>
                  </w:r>
                </w:p>
              </w:tc>
              <w:tc>
                <w:tcPr>
                  <w:tcW w:w="2040" w:type="dxa"/>
                  <w:tcBorders>
                    <w:top w:val="single" w:sz="6" w:space="0" w:color="auto"/>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lang w:eastAsia="es-MX"/>
                    </w:rPr>
                  </w:pPr>
                  <w:r>
                    <w:rPr>
                      <w:rFonts w:ascii="Arial" w:hAnsi="Arial" w:cs="Arial"/>
                      <w:b/>
                      <w:bCs/>
                      <w:color w:val="000000"/>
                      <w:lang w:eastAsia="es-MX"/>
                    </w:rPr>
                    <w:t>Total</w:t>
                  </w:r>
                </w:p>
              </w:tc>
            </w:tr>
            <w:tr w:rsidR="00657CA4">
              <w:tc>
                <w:tcPr>
                  <w:tcW w:w="3420"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BBVA Bancomer</w:t>
                  </w:r>
                </w:p>
              </w:tc>
              <w:tc>
                <w:tcPr>
                  <w:tcW w:w="1840"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c>
                <w:tcPr>
                  <w:tcW w:w="2040"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705,979,577.70</w:t>
                  </w:r>
                </w:p>
              </w:tc>
              <w:tc>
                <w:tcPr>
                  <w:tcW w:w="2040"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705,979,577.70 </w:t>
                  </w:r>
                </w:p>
              </w:tc>
            </w:tr>
            <w:tr w:rsidR="00657CA4">
              <w:tc>
                <w:tcPr>
                  <w:tcW w:w="3420"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Banco Mercantil de Norte</w:t>
                  </w:r>
                </w:p>
              </w:tc>
              <w:tc>
                <w:tcPr>
                  <w:tcW w:w="1840"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w:t>
                  </w:r>
                </w:p>
              </w:tc>
              <w:tc>
                <w:tcPr>
                  <w:tcW w:w="2040"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432,870,495.24 </w:t>
                  </w:r>
                </w:p>
              </w:tc>
              <w:tc>
                <w:tcPr>
                  <w:tcW w:w="2040"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432,870,495.24</w:t>
                  </w:r>
                </w:p>
              </w:tc>
            </w:tr>
            <w:tr w:rsidR="00657CA4">
              <w:tc>
                <w:tcPr>
                  <w:tcW w:w="3420" w:type="dxa"/>
                  <w:tcBorders>
                    <w:top w:val="nil"/>
                    <w:left w:val="single" w:sz="6" w:space="0" w:color="auto"/>
                    <w:bottom w:val="nil"/>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proofErr w:type="spellStart"/>
                  <w:r>
                    <w:rPr>
                      <w:rFonts w:ascii="Arial" w:hAnsi="Arial" w:cs="Arial"/>
                      <w:color w:val="000000"/>
                      <w:sz w:val="20"/>
                      <w:szCs w:val="20"/>
                      <w:lang w:eastAsia="es-MX"/>
                    </w:rPr>
                    <w:t>Banobras</w:t>
                  </w:r>
                  <w:proofErr w:type="spellEnd"/>
                  <w:r>
                    <w:rPr>
                      <w:rFonts w:ascii="Arial" w:hAnsi="Arial" w:cs="Arial"/>
                      <w:color w:val="000000"/>
                      <w:sz w:val="20"/>
                      <w:szCs w:val="20"/>
                      <w:lang w:eastAsia="es-MX"/>
                    </w:rPr>
                    <w:t xml:space="preserve"> 1173822853</w:t>
                  </w:r>
                </w:p>
              </w:tc>
              <w:tc>
                <w:tcPr>
                  <w:tcW w:w="1840" w:type="dxa"/>
                  <w:tcBorders>
                    <w:top w:val="nil"/>
                    <w:left w:val="nil"/>
                    <w:bottom w:val="nil"/>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22,931,847.21</w:t>
                  </w:r>
                </w:p>
              </w:tc>
              <w:tc>
                <w:tcPr>
                  <w:tcW w:w="2040" w:type="dxa"/>
                  <w:tcBorders>
                    <w:top w:val="nil"/>
                    <w:left w:val="nil"/>
                    <w:bottom w:val="nil"/>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c>
                <w:tcPr>
                  <w:tcW w:w="2040" w:type="dxa"/>
                  <w:tcBorders>
                    <w:top w:val="nil"/>
                    <w:left w:val="nil"/>
                    <w:bottom w:val="nil"/>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22,931,847.21 </w:t>
                  </w:r>
                </w:p>
              </w:tc>
            </w:tr>
            <w:tr w:rsidR="00657CA4">
              <w:tc>
                <w:tcPr>
                  <w:tcW w:w="3420"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Total</w:t>
                  </w:r>
                </w:p>
              </w:tc>
              <w:tc>
                <w:tcPr>
                  <w:tcW w:w="1840" w:type="dxa"/>
                  <w:tcBorders>
                    <w:top w:val="single" w:sz="6" w:space="0" w:color="auto"/>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  22,931,847.21 </w:t>
                  </w:r>
                </w:p>
              </w:tc>
              <w:tc>
                <w:tcPr>
                  <w:tcW w:w="2040" w:type="dxa"/>
                  <w:tcBorders>
                    <w:top w:val="single" w:sz="6" w:space="0" w:color="auto"/>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$1,138,850,072.94 </w:t>
                  </w:r>
                </w:p>
              </w:tc>
              <w:tc>
                <w:tcPr>
                  <w:tcW w:w="2040"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$1,161,781,920.15 </w:t>
                  </w:r>
                </w:p>
              </w:tc>
            </w:tr>
          </w:tbl>
          <w:p w:rsidR="00657CA4" w:rsidRDefault="00657CA4" w:rsidP="00657CA4">
            <w:pPr>
              <w:autoSpaceDE w:val="0"/>
              <w:autoSpaceDN w:val="0"/>
              <w:adjustRightInd w:val="0"/>
              <w:jc w:val="both"/>
              <w:rPr>
                <w:rFonts w:ascii="Arial" w:hAnsi="Arial" w:cs="Arial"/>
                <w:sz w:val="20"/>
                <w:szCs w:val="20"/>
                <w:lang w:eastAsia="es-MX"/>
              </w:rPr>
            </w:pP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A partir de septiembre 2017, fue pactado con BBVA Bancomer la reducción de la tasa de interés para quedar en TIIE+1.09 puntos porcentuales, así como el compromiso que recae en el Fondo General de Participaciones para afectar solo el 20%. Para garantizar el pago oportuno de la deuda, se constituyó un fideicomiso irrevocable de administración y en el que el banco mencionado es liquidar las obligaciones del Municipio.</w:t>
            </w: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 xml:space="preserve">A partir de 05 de Octubre de  2022, fue pactado  un crédito simple con BBVA Bancomer, para refinanciamiento de crédito original, con una plazo de vencimiento de 12 años, con una tasa efectiva 10.49, otorgaron 24 meses de gracias al Municipio de Guadalajara a partir de la disposición del crédito que puede ser hasta por la $ 810,104,552.12, </w:t>
            </w:r>
            <w:proofErr w:type="spellStart"/>
            <w:r>
              <w:rPr>
                <w:rFonts w:ascii="Arial" w:hAnsi="Arial" w:cs="Arial"/>
                <w:lang w:eastAsia="es-MX"/>
              </w:rPr>
              <w:t>asi</w:t>
            </w:r>
            <w:proofErr w:type="spellEnd"/>
            <w:r>
              <w:rPr>
                <w:rFonts w:ascii="Arial" w:hAnsi="Arial" w:cs="Arial"/>
                <w:lang w:eastAsia="es-MX"/>
              </w:rPr>
              <w:t xml:space="preserve"> como el compromiso que recae del 17% de las participaciones federales (fondo general) para garantizar el pago oportuno de la deuda, se constituye  un fideicomiso irrevocable de administración y medio de pago, a través del cual se cubren las obligaciones del Municipio.</w:t>
            </w: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 xml:space="preserve">A partir de septiembre de 2017, fue pactado con el Banco Mercantil del Norte, la reducción de la tasa de interés para quedar en TIIE+.90 puntos porcentuales, así como el </w:t>
            </w:r>
            <w:r>
              <w:rPr>
                <w:rFonts w:ascii="Arial" w:hAnsi="Arial" w:cs="Arial"/>
                <w:lang w:eastAsia="es-MX"/>
              </w:rPr>
              <w:lastRenderedPageBreak/>
              <w:t>compromiso que recae en el Fondo General de participaciones para afectar solo el 16%. Para garantizar el pago oportuno de la deuda, se constituyó un fideicomiso irrevocable de administración y medio de pago, a través del cual se liquidan las obligaciones del Municipio y en el que el banco mencionado es el fideicomisario en primer lugar, este crédito vencerá el 11 de Enero de 2031.</w:t>
            </w:r>
          </w:p>
          <w:p w:rsidR="00657CA4" w:rsidRDefault="00657CA4" w:rsidP="00657CA4">
            <w:pPr>
              <w:autoSpaceDE w:val="0"/>
              <w:autoSpaceDN w:val="0"/>
              <w:adjustRightInd w:val="0"/>
              <w:jc w:val="both"/>
              <w:rPr>
                <w:rFonts w:ascii="Arial" w:hAnsi="Arial" w:cs="Arial"/>
                <w:lang w:eastAsia="es-MX"/>
              </w:rPr>
            </w:pP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Cabe mencionar que el registro de este crédito se efectuó de conformidad  con lo establecido en la Ley de Disciplina Financiera de las Entidades Federativas y sus Municipio, así como a los Criterios para la Elaboración y presentación homogénea de la información financiera y de los formatos a que hace referencia la Ley de Disciplina Financiera de las Entidades Federativas y los Municipio, Formato 2 Informe Analítico de la Deuda Pública y Otros Pasivo, numerales c) y k).</w:t>
            </w:r>
          </w:p>
          <w:p w:rsidR="00657CA4" w:rsidRDefault="00657CA4" w:rsidP="00657CA4">
            <w:pPr>
              <w:autoSpaceDE w:val="0"/>
              <w:autoSpaceDN w:val="0"/>
              <w:adjustRightInd w:val="0"/>
              <w:jc w:val="both"/>
              <w:rPr>
                <w:rFonts w:ascii="Arial" w:hAnsi="Arial" w:cs="Arial"/>
                <w:lang w:eastAsia="es-MX"/>
              </w:rPr>
            </w:pPr>
          </w:p>
          <w:p w:rsidR="00657CA4" w:rsidRDefault="00657CA4" w:rsidP="00657CA4">
            <w:pPr>
              <w:autoSpaceDE w:val="0"/>
              <w:autoSpaceDN w:val="0"/>
              <w:adjustRightInd w:val="0"/>
              <w:ind w:left="1146" w:hanging="720"/>
              <w:jc w:val="both"/>
              <w:rPr>
                <w:rFonts w:ascii="Arial" w:hAnsi="Arial" w:cs="Arial"/>
                <w:lang w:eastAsia="es-MX"/>
              </w:rPr>
            </w:pPr>
            <w:r>
              <w:rPr>
                <w:rFonts w:ascii="Arial" w:hAnsi="Arial" w:cs="Arial"/>
                <w:b/>
                <w:bCs/>
                <w:lang w:eastAsia="es-MX"/>
              </w:rPr>
              <w:t>II)</w:t>
            </w:r>
            <w:r>
              <w:rPr>
                <w:rFonts w:ascii="Arial" w:hAnsi="Arial" w:cs="Arial"/>
                <w:b/>
                <w:bCs/>
                <w:lang w:eastAsia="es-MX"/>
              </w:rPr>
              <w:tab/>
              <w:t>Notas al Estado de Variación en la Hacienda pública.</w:t>
            </w: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El desglose de las cuentas se informa de manera agrupada acerca de las modificaciones al patrimonio contribuido y los recursos que modifican al patrimonio generado se proporcionan en el estado de Variación en la Hacienda Pública al 31 de Diciembre de 2023</w:t>
            </w:r>
          </w:p>
          <w:p w:rsidR="00657CA4" w:rsidRDefault="00657CA4" w:rsidP="00657CA4">
            <w:pPr>
              <w:autoSpaceDE w:val="0"/>
              <w:autoSpaceDN w:val="0"/>
              <w:adjustRightInd w:val="0"/>
              <w:ind w:left="1146" w:hanging="720"/>
              <w:jc w:val="both"/>
              <w:rPr>
                <w:rFonts w:ascii="Arial" w:hAnsi="Arial" w:cs="Arial"/>
                <w:lang w:eastAsia="es-MX"/>
              </w:rPr>
            </w:pPr>
            <w:r>
              <w:rPr>
                <w:rFonts w:ascii="Arial" w:hAnsi="Arial" w:cs="Arial"/>
                <w:b/>
                <w:bCs/>
                <w:lang w:eastAsia="es-MX"/>
              </w:rPr>
              <w:t>III)</w:t>
            </w:r>
            <w:r>
              <w:rPr>
                <w:rFonts w:ascii="Arial" w:hAnsi="Arial" w:cs="Arial"/>
                <w:b/>
                <w:bCs/>
                <w:lang w:eastAsia="es-MX"/>
              </w:rPr>
              <w:tab/>
              <w:t>Notas al Estado de Flujo de Efectivo</w:t>
            </w:r>
          </w:p>
          <w:p w:rsidR="00657CA4" w:rsidRDefault="00657CA4" w:rsidP="00657CA4">
            <w:pPr>
              <w:autoSpaceDE w:val="0"/>
              <w:autoSpaceDN w:val="0"/>
              <w:adjustRightInd w:val="0"/>
              <w:ind w:left="720" w:hanging="360"/>
              <w:jc w:val="both"/>
              <w:rPr>
                <w:rFonts w:ascii="Arial" w:hAnsi="Arial" w:cs="Arial"/>
                <w:lang w:eastAsia="es-MX"/>
              </w:rPr>
            </w:pPr>
            <w:r>
              <w:rPr>
                <w:rFonts w:ascii="Arial" w:hAnsi="Arial" w:cs="Arial"/>
                <w:lang w:eastAsia="es-MX"/>
              </w:rPr>
              <w:t>1.</w:t>
            </w:r>
            <w:r>
              <w:rPr>
                <w:rFonts w:ascii="Arial" w:hAnsi="Arial" w:cs="Arial"/>
                <w:lang w:eastAsia="es-MX"/>
              </w:rPr>
              <w:tab/>
              <w:t>El análisis de los saldos inicial y final que figuran en la última parte del Estado de Flujo de efectivo en la cuenta de efectivo y equivalentes como sigue:</w:t>
            </w:r>
          </w:p>
          <w:p w:rsidR="00657CA4" w:rsidRDefault="00657CA4" w:rsidP="00657CA4">
            <w:pPr>
              <w:autoSpaceDE w:val="0"/>
              <w:autoSpaceDN w:val="0"/>
              <w:adjustRightInd w:val="0"/>
              <w:jc w:val="both"/>
              <w:rPr>
                <w:rFonts w:ascii="Arial" w:hAnsi="Arial" w:cs="Arial"/>
                <w:lang w:eastAsia="es-MX"/>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69"/>
              <w:gridCol w:w="1702"/>
              <w:gridCol w:w="1775"/>
            </w:tblGrid>
            <w:tr w:rsidR="00657CA4">
              <w:tc>
                <w:tcPr>
                  <w:tcW w:w="58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MS Sans Serif" w:hAnsi="MS Sans Serif" w:cs="MS Sans Serif"/>
                      <w:color w:val="000000"/>
                      <w:sz w:val="20"/>
                      <w:szCs w:val="20"/>
                      <w:lang w:eastAsia="es-MX"/>
                    </w:rPr>
                  </w:pPr>
                </w:p>
              </w:tc>
              <w:tc>
                <w:tcPr>
                  <w:tcW w:w="1717"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2022</w:t>
                  </w:r>
                </w:p>
              </w:tc>
              <w:tc>
                <w:tcPr>
                  <w:tcW w:w="1783"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2023</w:t>
                  </w:r>
                </w:p>
              </w:tc>
            </w:tr>
            <w:tr w:rsidR="00657CA4">
              <w:tc>
                <w:tcPr>
                  <w:tcW w:w="58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Efectivo</w:t>
                  </w:r>
                </w:p>
              </w:tc>
              <w:tc>
                <w:tcPr>
                  <w:tcW w:w="1717"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520,008.78</w:t>
                  </w:r>
                </w:p>
              </w:tc>
              <w:tc>
                <w:tcPr>
                  <w:tcW w:w="1783"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684,508.77</w:t>
                  </w:r>
                </w:p>
              </w:tc>
            </w:tr>
            <w:tr w:rsidR="00657CA4">
              <w:tc>
                <w:tcPr>
                  <w:tcW w:w="58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Bancos</w:t>
                  </w:r>
                </w:p>
              </w:tc>
              <w:tc>
                <w:tcPr>
                  <w:tcW w:w="1717"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300,111,928.47</w:t>
                  </w:r>
                </w:p>
              </w:tc>
              <w:tc>
                <w:tcPr>
                  <w:tcW w:w="1783"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188,457,656.13</w:t>
                  </w:r>
                </w:p>
              </w:tc>
            </w:tr>
            <w:tr w:rsidR="00657CA4">
              <w:tc>
                <w:tcPr>
                  <w:tcW w:w="58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Inversiones Temporales (Hasta 3 mese)</w:t>
                  </w:r>
                </w:p>
              </w:tc>
              <w:tc>
                <w:tcPr>
                  <w:tcW w:w="1717"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252,525,343.73</w:t>
                  </w:r>
                </w:p>
              </w:tc>
              <w:tc>
                <w:tcPr>
                  <w:tcW w:w="1783"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14,543,463.05</w:t>
                  </w:r>
                </w:p>
              </w:tc>
            </w:tr>
            <w:tr w:rsidR="00657CA4">
              <w:tc>
                <w:tcPr>
                  <w:tcW w:w="58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Fondos Con afectaciones Especifica</w:t>
                  </w:r>
                </w:p>
              </w:tc>
              <w:tc>
                <w:tcPr>
                  <w:tcW w:w="1717"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137,939.59</w:t>
                  </w:r>
                </w:p>
              </w:tc>
              <w:tc>
                <w:tcPr>
                  <w:tcW w:w="1783"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137,939.59 </w:t>
                  </w:r>
                </w:p>
              </w:tc>
            </w:tr>
            <w:tr w:rsidR="00657CA4">
              <w:tc>
                <w:tcPr>
                  <w:tcW w:w="58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Depósitos de fondos de terceros en Garantía y/o Administración</w:t>
                  </w:r>
                </w:p>
              </w:tc>
              <w:tc>
                <w:tcPr>
                  <w:tcW w:w="1717"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15,242,110.20</w:t>
                  </w:r>
                </w:p>
              </w:tc>
              <w:tc>
                <w:tcPr>
                  <w:tcW w:w="1783"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15,245,659.80 </w:t>
                  </w:r>
                </w:p>
              </w:tc>
            </w:tr>
            <w:tr w:rsidR="00657CA4">
              <w:tc>
                <w:tcPr>
                  <w:tcW w:w="58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Otros Efectivos y equivalentes</w:t>
                  </w:r>
                </w:p>
              </w:tc>
              <w:tc>
                <w:tcPr>
                  <w:tcW w:w="1717"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3,502,326.18</w:t>
                  </w:r>
                </w:p>
              </w:tc>
              <w:tc>
                <w:tcPr>
                  <w:tcW w:w="1783"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625,961.60</w:t>
                  </w:r>
                </w:p>
              </w:tc>
            </w:tr>
            <w:tr w:rsidR="00657CA4">
              <w:tc>
                <w:tcPr>
                  <w:tcW w:w="58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EFECTIVO Y EQUIVALENTES</w:t>
                  </w:r>
                </w:p>
              </w:tc>
              <w:tc>
                <w:tcPr>
                  <w:tcW w:w="1717"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572,039,656.95</w:t>
                  </w:r>
                </w:p>
              </w:tc>
              <w:tc>
                <w:tcPr>
                  <w:tcW w:w="1783"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b/>
                      <w:bCs/>
                      <w:lang w:eastAsia="es-MX"/>
                    </w:rPr>
                  </w:pPr>
                  <w:r>
                    <w:rPr>
                      <w:rFonts w:cs="Calibri"/>
                      <w:b/>
                      <w:bCs/>
                      <w:lang w:eastAsia="es-MX"/>
                    </w:rPr>
                    <w:t>$219,695,188.94</w:t>
                  </w:r>
                </w:p>
              </w:tc>
            </w:tr>
          </w:tbl>
          <w:p w:rsidR="00657CA4" w:rsidRDefault="00657CA4" w:rsidP="00657CA4">
            <w:pPr>
              <w:autoSpaceDE w:val="0"/>
              <w:autoSpaceDN w:val="0"/>
              <w:adjustRightInd w:val="0"/>
              <w:jc w:val="both"/>
              <w:rPr>
                <w:rFonts w:ascii="Arial" w:hAnsi="Arial" w:cs="Arial"/>
                <w:lang w:eastAsia="es-MX"/>
              </w:rPr>
            </w:pPr>
          </w:p>
          <w:p w:rsidR="007E5E91" w:rsidRDefault="007E5E91" w:rsidP="00657CA4">
            <w:pPr>
              <w:autoSpaceDE w:val="0"/>
              <w:autoSpaceDN w:val="0"/>
              <w:adjustRightInd w:val="0"/>
              <w:jc w:val="both"/>
              <w:rPr>
                <w:rFonts w:ascii="Arial" w:hAnsi="Arial" w:cs="Arial"/>
                <w:lang w:eastAsia="es-MX"/>
              </w:rPr>
            </w:pPr>
          </w:p>
          <w:p w:rsidR="007E5E91" w:rsidRDefault="007E5E91" w:rsidP="00657CA4">
            <w:pPr>
              <w:autoSpaceDE w:val="0"/>
              <w:autoSpaceDN w:val="0"/>
              <w:adjustRightInd w:val="0"/>
              <w:jc w:val="both"/>
              <w:rPr>
                <w:rFonts w:ascii="Arial" w:hAnsi="Arial" w:cs="Arial"/>
                <w:lang w:eastAsia="es-MX"/>
              </w:rPr>
            </w:pPr>
          </w:p>
          <w:p w:rsidR="00657CA4" w:rsidRDefault="00657CA4" w:rsidP="00657CA4">
            <w:pPr>
              <w:autoSpaceDE w:val="0"/>
              <w:autoSpaceDN w:val="0"/>
              <w:adjustRightInd w:val="0"/>
              <w:ind w:left="720" w:hanging="360"/>
              <w:jc w:val="both"/>
              <w:rPr>
                <w:rFonts w:ascii="Arial" w:hAnsi="Arial" w:cs="Arial"/>
                <w:lang w:eastAsia="es-MX"/>
              </w:rPr>
            </w:pPr>
            <w:r>
              <w:rPr>
                <w:rFonts w:ascii="Arial" w:hAnsi="Arial" w:cs="Arial"/>
                <w:lang w:eastAsia="es-MX"/>
              </w:rPr>
              <w:t>2.</w:t>
            </w:r>
            <w:r>
              <w:rPr>
                <w:rFonts w:ascii="Arial" w:hAnsi="Arial" w:cs="Arial"/>
                <w:lang w:eastAsia="es-MX"/>
              </w:rPr>
              <w:tab/>
              <w:t xml:space="preserve"> A continuación se detallan las adquisiciones de las actividades de Inversión </w:t>
            </w:r>
            <w:r>
              <w:rPr>
                <w:rFonts w:ascii="Arial" w:hAnsi="Arial" w:cs="Arial"/>
                <w:lang w:eastAsia="es-MX"/>
              </w:rPr>
              <w:lastRenderedPageBreak/>
              <w:t xml:space="preserve">efectivamente pagadas respecto del aparatado de aplicación. </w:t>
            </w:r>
          </w:p>
          <w:tbl>
            <w:tblPr>
              <w:tblW w:w="0" w:type="auto"/>
              <w:tblCellMar>
                <w:left w:w="70" w:type="dxa"/>
                <w:right w:w="70" w:type="dxa"/>
              </w:tblCellMar>
              <w:tblLook w:val="0000" w:firstRow="0" w:lastRow="0" w:firstColumn="0" w:lastColumn="0" w:noHBand="0" w:noVBand="0"/>
            </w:tblPr>
            <w:tblGrid>
              <w:gridCol w:w="4989"/>
              <w:gridCol w:w="1879"/>
              <w:gridCol w:w="1878"/>
            </w:tblGrid>
            <w:tr w:rsidR="00657CA4">
              <w:tc>
                <w:tcPr>
                  <w:tcW w:w="9021" w:type="dxa"/>
                  <w:gridSpan w:val="3"/>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4"/>
                      <w:szCs w:val="24"/>
                      <w:lang w:eastAsia="es-MX"/>
                    </w:rPr>
                  </w:pPr>
                  <w:r>
                    <w:rPr>
                      <w:rFonts w:ascii="Arial" w:hAnsi="Arial" w:cs="Arial"/>
                      <w:b/>
                      <w:bCs/>
                      <w:color w:val="000000"/>
                      <w:sz w:val="24"/>
                      <w:szCs w:val="24"/>
                      <w:lang w:eastAsia="es-MX"/>
                    </w:rPr>
                    <w:t>Adquisiciones de Actividades de Inversión efectivamente pagadas, respecto del apartado de aplicación.</w:t>
                  </w:r>
                </w:p>
              </w:tc>
            </w:tr>
            <w:tr w:rsidR="00657CA4">
              <w:tc>
                <w:tcPr>
                  <w:tcW w:w="5210"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MS Sans Serif" w:hAnsi="MS Sans Serif" w:cs="MS Sans Serif"/>
                      <w:b/>
                      <w:bCs/>
                      <w:color w:val="000000"/>
                      <w:sz w:val="20"/>
                      <w:szCs w:val="20"/>
                      <w:lang w:eastAsia="es-MX"/>
                    </w:rPr>
                  </w:pPr>
                  <w:r>
                    <w:rPr>
                      <w:rFonts w:ascii="MS Sans Serif" w:hAnsi="MS Sans Serif" w:cs="MS Sans Serif"/>
                      <w:b/>
                      <w:bCs/>
                      <w:color w:val="000000"/>
                      <w:sz w:val="20"/>
                      <w:szCs w:val="20"/>
                      <w:lang w:eastAsia="es-MX"/>
                    </w:rPr>
                    <w:t>Concepto</w:t>
                  </w:r>
                </w:p>
              </w:tc>
              <w:tc>
                <w:tcPr>
                  <w:tcW w:w="1901" w:type="dxa"/>
                  <w:tcBorders>
                    <w:top w:val="nil"/>
                    <w:left w:val="nil"/>
                    <w:bottom w:val="single" w:sz="6" w:space="0" w:color="auto"/>
                    <w:right w:val="single" w:sz="6" w:space="0" w:color="auto"/>
                  </w:tcBorders>
                </w:tcPr>
                <w:p w:rsidR="00657CA4" w:rsidRPr="00045D7C" w:rsidRDefault="00657CA4">
                  <w:pPr>
                    <w:autoSpaceDE w:val="0"/>
                    <w:autoSpaceDN w:val="0"/>
                    <w:adjustRightInd w:val="0"/>
                    <w:spacing w:after="0"/>
                    <w:rPr>
                      <w:rFonts w:ascii="MS Sans Serif" w:hAnsi="MS Sans Serif" w:cs="MS Sans Serif"/>
                      <w:b/>
                      <w:bCs/>
                      <w:color w:val="000000"/>
                      <w:sz w:val="20"/>
                      <w:szCs w:val="20"/>
                      <w:lang w:eastAsia="es-MX"/>
                    </w:rPr>
                  </w:pPr>
                  <w:r w:rsidRPr="00045D7C">
                    <w:rPr>
                      <w:rFonts w:ascii="MS Sans Serif" w:hAnsi="MS Sans Serif" w:cs="MS Sans Serif"/>
                      <w:b/>
                      <w:bCs/>
                      <w:color w:val="000000"/>
                      <w:sz w:val="20"/>
                      <w:szCs w:val="20"/>
                      <w:lang w:eastAsia="es-MX"/>
                    </w:rPr>
                    <w:t>2023</w:t>
                  </w:r>
                </w:p>
              </w:tc>
              <w:tc>
                <w:tcPr>
                  <w:tcW w:w="1910" w:type="dxa"/>
                  <w:tcBorders>
                    <w:top w:val="nil"/>
                    <w:left w:val="nil"/>
                    <w:bottom w:val="single" w:sz="6" w:space="0" w:color="auto"/>
                    <w:right w:val="single" w:sz="6" w:space="0" w:color="auto"/>
                  </w:tcBorders>
                </w:tcPr>
                <w:p w:rsidR="00657CA4" w:rsidRPr="00045D7C" w:rsidRDefault="00657CA4">
                  <w:pPr>
                    <w:autoSpaceDE w:val="0"/>
                    <w:autoSpaceDN w:val="0"/>
                    <w:adjustRightInd w:val="0"/>
                    <w:spacing w:after="0"/>
                    <w:rPr>
                      <w:rFonts w:ascii="MS Sans Serif" w:hAnsi="MS Sans Serif" w:cs="MS Sans Serif"/>
                      <w:b/>
                      <w:bCs/>
                      <w:color w:val="000000"/>
                      <w:sz w:val="20"/>
                      <w:szCs w:val="20"/>
                      <w:lang w:eastAsia="es-MX"/>
                    </w:rPr>
                  </w:pPr>
                  <w:r w:rsidRPr="00045D7C">
                    <w:rPr>
                      <w:rFonts w:ascii="MS Sans Serif" w:hAnsi="MS Sans Serif" w:cs="MS Sans Serif"/>
                      <w:b/>
                      <w:bCs/>
                      <w:color w:val="000000"/>
                      <w:sz w:val="20"/>
                      <w:szCs w:val="20"/>
                      <w:lang w:eastAsia="es-MX"/>
                    </w:rPr>
                    <w:t>2022</w:t>
                  </w:r>
                </w:p>
              </w:tc>
            </w:tr>
            <w:tr w:rsidR="00657CA4">
              <w:tc>
                <w:tcPr>
                  <w:tcW w:w="5210"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Bienes Inmuebles, Infraestructura y Construcciones en Proceso</w:t>
                  </w:r>
                </w:p>
              </w:tc>
              <w:tc>
                <w:tcPr>
                  <w:tcW w:w="1901" w:type="dxa"/>
                  <w:tcBorders>
                    <w:top w:val="nil"/>
                    <w:left w:val="nil"/>
                    <w:bottom w:val="single" w:sz="6" w:space="0" w:color="auto"/>
                    <w:right w:val="single" w:sz="6" w:space="0" w:color="auto"/>
                  </w:tcBorders>
                </w:tcPr>
                <w:p w:rsidR="00657CA4" w:rsidRPr="00045D7C" w:rsidRDefault="00657CA4">
                  <w:pPr>
                    <w:autoSpaceDE w:val="0"/>
                    <w:autoSpaceDN w:val="0"/>
                    <w:adjustRightInd w:val="0"/>
                    <w:spacing w:after="0"/>
                    <w:rPr>
                      <w:rFonts w:ascii="Arial" w:hAnsi="Arial" w:cs="Arial"/>
                      <w:b/>
                      <w:bCs/>
                      <w:color w:val="000000"/>
                      <w:sz w:val="18"/>
                      <w:szCs w:val="18"/>
                      <w:lang w:eastAsia="es-MX"/>
                    </w:rPr>
                  </w:pPr>
                  <w:r w:rsidRPr="00045D7C">
                    <w:rPr>
                      <w:rFonts w:ascii="Arial" w:hAnsi="Arial" w:cs="Arial"/>
                      <w:b/>
                      <w:bCs/>
                      <w:color w:val="000000"/>
                      <w:sz w:val="18"/>
                      <w:szCs w:val="18"/>
                      <w:lang w:eastAsia="es-MX"/>
                    </w:rPr>
                    <w:t xml:space="preserve">    6,238,669,600.60 </w:t>
                  </w:r>
                </w:p>
              </w:tc>
              <w:tc>
                <w:tcPr>
                  <w:tcW w:w="1910" w:type="dxa"/>
                  <w:tcBorders>
                    <w:top w:val="nil"/>
                    <w:left w:val="nil"/>
                    <w:bottom w:val="single" w:sz="6" w:space="0" w:color="auto"/>
                    <w:right w:val="single" w:sz="6" w:space="0" w:color="auto"/>
                  </w:tcBorders>
                </w:tcPr>
                <w:p w:rsidR="00657CA4" w:rsidRPr="00045D7C" w:rsidRDefault="00657CA4">
                  <w:pPr>
                    <w:autoSpaceDE w:val="0"/>
                    <w:autoSpaceDN w:val="0"/>
                    <w:adjustRightInd w:val="0"/>
                    <w:spacing w:after="0"/>
                    <w:rPr>
                      <w:rFonts w:ascii="Arial" w:hAnsi="Arial" w:cs="Arial"/>
                      <w:b/>
                      <w:bCs/>
                      <w:color w:val="000000"/>
                      <w:sz w:val="18"/>
                      <w:szCs w:val="18"/>
                      <w:lang w:eastAsia="es-MX"/>
                    </w:rPr>
                  </w:pPr>
                  <w:r w:rsidRPr="00045D7C">
                    <w:rPr>
                      <w:rFonts w:ascii="Arial" w:hAnsi="Arial" w:cs="Arial"/>
                      <w:b/>
                      <w:bCs/>
                      <w:color w:val="000000"/>
                      <w:sz w:val="18"/>
                      <w:szCs w:val="18"/>
                      <w:lang w:eastAsia="es-MX"/>
                    </w:rPr>
                    <w:t xml:space="preserve">        145,307,326.07 </w:t>
                  </w:r>
                </w:p>
              </w:tc>
            </w:tr>
            <w:tr w:rsidR="00657CA4">
              <w:tc>
                <w:tcPr>
                  <w:tcW w:w="5210" w:type="dxa"/>
                  <w:tcBorders>
                    <w:top w:val="nil"/>
                    <w:left w:val="single" w:sz="6" w:space="0" w:color="auto"/>
                    <w:bottom w:val="nil"/>
                    <w:right w:val="nil"/>
                  </w:tcBorders>
                </w:tcPr>
                <w:p w:rsidR="00657CA4" w:rsidRDefault="00657CA4">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Terrenos</w:t>
                  </w:r>
                </w:p>
              </w:tc>
              <w:tc>
                <w:tcPr>
                  <w:tcW w:w="1901" w:type="dxa"/>
                  <w:tcBorders>
                    <w:top w:val="nil"/>
                    <w:left w:val="nil"/>
                    <w:bottom w:val="nil"/>
                    <w:right w:val="single" w:sz="6" w:space="0" w:color="auto"/>
                  </w:tcBorders>
                </w:tcPr>
                <w:p w:rsidR="00657CA4" w:rsidRPr="00045D7C" w:rsidRDefault="00657CA4">
                  <w:pPr>
                    <w:autoSpaceDE w:val="0"/>
                    <w:autoSpaceDN w:val="0"/>
                    <w:adjustRightInd w:val="0"/>
                    <w:spacing w:after="0"/>
                    <w:rPr>
                      <w:rFonts w:ascii="Arial" w:hAnsi="Arial" w:cs="Arial"/>
                      <w:color w:val="000000"/>
                      <w:sz w:val="18"/>
                      <w:szCs w:val="18"/>
                      <w:lang w:eastAsia="es-MX"/>
                    </w:rPr>
                  </w:pPr>
                  <w:r w:rsidRPr="00045D7C">
                    <w:rPr>
                      <w:rFonts w:ascii="Arial" w:hAnsi="Arial" w:cs="Arial"/>
                      <w:color w:val="000000"/>
                      <w:sz w:val="18"/>
                      <w:szCs w:val="18"/>
                      <w:lang w:eastAsia="es-MX"/>
                    </w:rPr>
                    <w:t xml:space="preserve">                                -   </w:t>
                  </w:r>
                </w:p>
              </w:tc>
              <w:tc>
                <w:tcPr>
                  <w:tcW w:w="1910" w:type="dxa"/>
                  <w:tcBorders>
                    <w:top w:val="nil"/>
                    <w:left w:val="nil"/>
                    <w:bottom w:val="nil"/>
                    <w:right w:val="single" w:sz="6" w:space="0" w:color="auto"/>
                  </w:tcBorders>
                </w:tcPr>
                <w:p w:rsidR="00657CA4" w:rsidRPr="00045D7C" w:rsidRDefault="00657CA4">
                  <w:pPr>
                    <w:autoSpaceDE w:val="0"/>
                    <w:autoSpaceDN w:val="0"/>
                    <w:adjustRightInd w:val="0"/>
                    <w:spacing w:after="0"/>
                    <w:rPr>
                      <w:rFonts w:ascii="Arial" w:hAnsi="Arial" w:cs="Arial"/>
                      <w:color w:val="000000"/>
                      <w:sz w:val="18"/>
                      <w:szCs w:val="18"/>
                      <w:lang w:eastAsia="es-MX"/>
                    </w:rPr>
                  </w:pPr>
                  <w:r w:rsidRPr="00045D7C">
                    <w:rPr>
                      <w:rFonts w:ascii="Arial" w:hAnsi="Arial" w:cs="Arial"/>
                      <w:color w:val="000000"/>
                      <w:sz w:val="18"/>
                      <w:szCs w:val="18"/>
                      <w:lang w:eastAsia="es-MX"/>
                    </w:rPr>
                    <w:t xml:space="preserve">                                 -   </w:t>
                  </w:r>
                </w:p>
              </w:tc>
            </w:tr>
            <w:tr w:rsidR="00657CA4">
              <w:tc>
                <w:tcPr>
                  <w:tcW w:w="5210" w:type="dxa"/>
                  <w:tcBorders>
                    <w:top w:val="nil"/>
                    <w:left w:val="single" w:sz="6" w:space="0" w:color="auto"/>
                    <w:bottom w:val="nil"/>
                    <w:right w:val="nil"/>
                  </w:tcBorders>
                </w:tcPr>
                <w:p w:rsidR="00657CA4" w:rsidRDefault="00657CA4">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Viviendas</w:t>
                  </w:r>
                </w:p>
              </w:tc>
              <w:tc>
                <w:tcPr>
                  <w:tcW w:w="1901" w:type="dxa"/>
                  <w:tcBorders>
                    <w:top w:val="nil"/>
                    <w:left w:val="nil"/>
                    <w:bottom w:val="nil"/>
                    <w:right w:val="single" w:sz="6" w:space="0" w:color="auto"/>
                  </w:tcBorders>
                </w:tcPr>
                <w:p w:rsidR="00657CA4" w:rsidRPr="00045D7C" w:rsidRDefault="00657CA4">
                  <w:pPr>
                    <w:autoSpaceDE w:val="0"/>
                    <w:autoSpaceDN w:val="0"/>
                    <w:adjustRightInd w:val="0"/>
                    <w:spacing w:after="0"/>
                    <w:rPr>
                      <w:rFonts w:ascii="Arial" w:hAnsi="Arial" w:cs="Arial"/>
                      <w:color w:val="000000"/>
                      <w:sz w:val="18"/>
                      <w:szCs w:val="18"/>
                      <w:lang w:eastAsia="es-MX"/>
                    </w:rPr>
                  </w:pPr>
                  <w:r w:rsidRPr="00045D7C">
                    <w:rPr>
                      <w:rFonts w:ascii="Arial" w:hAnsi="Arial" w:cs="Arial"/>
                      <w:color w:val="000000"/>
                      <w:sz w:val="18"/>
                      <w:szCs w:val="18"/>
                      <w:lang w:eastAsia="es-MX"/>
                    </w:rPr>
                    <w:t xml:space="preserve">                                -   </w:t>
                  </w:r>
                </w:p>
              </w:tc>
              <w:tc>
                <w:tcPr>
                  <w:tcW w:w="1910" w:type="dxa"/>
                  <w:tcBorders>
                    <w:top w:val="nil"/>
                    <w:left w:val="nil"/>
                    <w:bottom w:val="nil"/>
                    <w:right w:val="single" w:sz="6" w:space="0" w:color="auto"/>
                  </w:tcBorders>
                </w:tcPr>
                <w:p w:rsidR="00657CA4" w:rsidRPr="00045D7C" w:rsidRDefault="00657CA4">
                  <w:pPr>
                    <w:autoSpaceDE w:val="0"/>
                    <w:autoSpaceDN w:val="0"/>
                    <w:adjustRightInd w:val="0"/>
                    <w:spacing w:after="0"/>
                    <w:rPr>
                      <w:rFonts w:ascii="Arial" w:hAnsi="Arial" w:cs="Arial"/>
                      <w:color w:val="000000"/>
                      <w:sz w:val="18"/>
                      <w:szCs w:val="18"/>
                      <w:lang w:eastAsia="es-MX"/>
                    </w:rPr>
                  </w:pPr>
                  <w:r w:rsidRPr="00045D7C">
                    <w:rPr>
                      <w:rFonts w:ascii="Arial" w:hAnsi="Arial" w:cs="Arial"/>
                      <w:color w:val="000000"/>
                      <w:sz w:val="18"/>
                      <w:szCs w:val="18"/>
                      <w:lang w:eastAsia="es-MX"/>
                    </w:rPr>
                    <w:t xml:space="preserve">                                 -   </w:t>
                  </w:r>
                </w:p>
              </w:tc>
            </w:tr>
            <w:tr w:rsidR="00657CA4">
              <w:tc>
                <w:tcPr>
                  <w:tcW w:w="5210" w:type="dxa"/>
                  <w:tcBorders>
                    <w:top w:val="nil"/>
                    <w:left w:val="single" w:sz="6" w:space="0" w:color="auto"/>
                    <w:bottom w:val="nil"/>
                    <w:right w:val="nil"/>
                  </w:tcBorders>
                </w:tcPr>
                <w:p w:rsidR="00657CA4" w:rsidRDefault="00657CA4">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Edificaciones no Habitacionales</w:t>
                  </w:r>
                </w:p>
              </w:tc>
              <w:tc>
                <w:tcPr>
                  <w:tcW w:w="1901" w:type="dxa"/>
                  <w:tcBorders>
                    <w:top w:val="nil"/>
                    <w:left w:val="nil"/>
                    <w:bottom w:val="nil"/>
                    <w:right w:val="single" w:sz="6" w:space="0" w:color="auto"/>
                  </w:tcBorders>
                </w:tcPr>
                <w:p w:rsidR="00657CA4" w:rsidRPr="00045D7C" w:rsidRDefault="00657CA4">
                  <w:pPr>
                    <w:autoSpaceDE w:val="0"/>
                    <w:autoSpaceDN w:val="0"/>
                    <w:adjustRightInd w:val="0"/>
                    <w:spacing w:after="0"/>
                    <w:rPr>
                      <w:rFonts w:ascii="Arial" w:hAnsi="Arial" w:cs="Arial"/>
                      <w:color w:val="000000"/>
                      <w:sz w:val="18"/>
                      <w:szCs w:val="18"/>
                      <w:lang w:eastAsia="es-MX"/>
                    </w:rPr>
                  </w:pPr>
                  <w:r w:rsidRPr="00045D7C">
                    <w:rPr>
                      <w:rFonts w:ascii="Arial" w:hAnsi="Arial" w:cs="Arial"/>
                      <w:color w:val="000000"/>
                      <w:sz w:val="18"/>
                      <w:szCs w:val="18"/>
                      <w:lang w:eastAsia="es-MX"/>
                    </w:rPr>
                    <w:t xml:space="preserve">                                -   </w:t>
                  </w:r>
                </w:p>
              </w:tc>
              <w:tc>
                <w:tcPr>
                  <w:tcW w:w="1910" w:type="dxa"/>
                  <w:tcBorders>
                    <w:top w:val="nil"/>
                    <w:left w:val="nil"/>
                    <w:bottom w:val="nil"/>
                    <w:right w:val="single" w:sz="6" w:space="0" w:color="auto"/>
                  </w:tcBorders>
                </w:tcPr>
                <w:p w:rsidR="00657CA4" w:rsidRPr="00045D7C" w:rsidRDefault="00657CA4">
                  <w:pPr>
                    <w:autoSpaceDE w:val="0"/>
                    <w:autoSpaceDN w:val="0"/>
                    <w:adjustRightInd w:val="0"/>
                    <w:spacing w:after="0"/>
                    <w:rPr>
                      <w:rFonts w:ascii="Arial" w:hAnsi="Arial" w:cs="Arial"/>
                      <w:color w:val="000000"/>
                      <w:sz w:val="18"/>
                      <w:szCs w:val="18"/>
                      <w:lang w:eastAsia="es-MX"/>
                    </w:rPr>
                  </w:pPr>
                  <w:r w:rsidRPr="00045D7C">
                    <w:rPr>
                      <w:rFonts w:ascii="Arial" w:hAnsi="Arial" w:cs="Arial"/>
                      <w:color w:val="000000"/>
                      <w:sz w:val="18"/>
                      <w:szCs w:val="18"/>
                      <w:lang w:eastAsia="es-MX"/>
                    </w:rPr>
                    <w:t xml:space="preserve">                                 -   </w:t>
                  </w:r>
                </w:p>
              </w:tc>
            </w:tr>
            <w:tr w:rsidR="00657CA4">
              <w:tc>
                <w:tcPr>
                  <w:tcW w:w="5210" w:type="dxa"/>
                  <w:tcBorders>
                    <w:top w:val="nil"/>
                    <w:left w:val="single" w:sz="6" w:space="0" w:color="auto"/>
                    <w:bottom w:val="nil"/>
                    <w:right w:val="nil"/>
                  </w:tcBorders>
                </w:tcPr>
                <w:p w:rsidR="00657CA4" w:rsidRDefault="00657CA4">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Infraestructura</w:t>
                  </w:r>
                </w:p>
              </w:tc>
              <w:tc>
                <w:tcPr>
                  <w:tcW w:w="1901" w:type="dxa"/>
                  <w:tcBorders>
                    <w:top w:val="nil"/>
                    <w:left w:val="nil"/>
                    <w:bottom w:val="nil"/>
                    <w:right w:val="single" w:sz="6" w:space="0" w:color="auto"/>
                  </w:tcBorders>
                </w:tcPr>
                <w:p w:rsidR="00657CA4" w:rsidRPr="00045D7C" w:rsidRDefault="00657CA4">
                  <w:pPr>
                    <w:autoSpaceDE w:val="0"/>
                    <w:autoSpaceDN w:val="0"/>
                    <w:adjustRightInd w:val="0"/>
                    <w:spacing w:after="0"/>
                    <w:rPr>
                      <w:rFonts w:ascii="Arial" w:hAnsi="Arial" w:cs="Arial"/>
                      <w:color w:val="000000"/>
                      <w:sz w:val="18"/>
                      <w:szCs w:val="18"/>
                      <w:lang w:eastAsia="es-MX"/>
                    </w:rPr>
                  </w:pPr>
                  <w:r w:rsidRPr="00045D7C">
                    <w:rPr>
                      <w:rFonts w:ascii="Arial" w:hAnsi="Arial" w:cs="Arial"/>
                      <w:color w:val="000000"/>
                      <w:sz w:val="18"/>
                      <w:szCs w:val="18"/>
                      <w:lang w:eastAsia="es-MX"/>
                    </w:rPr>
                    <w:t xml:space="preserve">                                -   </w:t>
                  </w:r>
                </w:p>
              </w:tc>
              <w:tc>
                <w:tcPr>
                  <w:tcW w:w="1910" w:type="dxa"/>
                  <w:tcBorders>
                    <w:top w:val="nil"/>
                    <w:left w:val="nil"/>
                    <w:bottom w:val="nil"/>
                    <w:right w:val="single" w:sz="6" w:space="0" w:color="auto"/>
                  </w:tcBorders>
                </w:tcPr>
                <w:p w:rsidR="00657CA4" w:rsidRPr="00045D7C" w:rsidRDefault="00657CA4">
                  <w:pPr>
                    <w:autoSpaceDE w:val="0"/>
                    <w:autoSpaceDN w:val="0"/>
                    <w:adjustRightInd w:val="0"/>
                    <w:spacing w:after="0"/>
                    <w:rPr>
                      <w:rFonts w:ascii="Arial" w:hAnsi="Arial" w:cs="Arial"/>
                      <w:color w:val="000000"/>
                      <w:sz w:val="18"/>
                      <w:szCs w:val="18"/>
                      <w:lang w:eastAsia="es-MX"/>
                    </w:rPr>
                  </w:pPr>
                  <w:r w:rsidRPr="00045D7C">
                    <w:rPr>
                      <w:rFonts w:ascii="Arial" w:hAnsi="Arial" w:cs="Arial"/>
                      <w:color w:val="000000"/>
                      <w:sz w:val="18"/>
                      <w:szCs w:val="18"/>
                      <w:lang w:eastAsia="es-MX"/>
                    </w:rPr>
                    <w:t xml:space="preserve">                                 -   </w:t>
                  </w:r>
                </w:p>
              </w:tc>
            </w:tr>
            <w:tr w:rsidR="00657CA4">
              <w:tc>
                <w:tcPr>
                  <w:tcW w:w="5210" w:type="dxa"/>
                  <w:tcBorders>
                    <w:top w:val="nil"/>
                    <w:left w:val="single" w:sz="6" w:space="0" w:color="auto"/>
                    <w:bottom w:val="nil"/>
                    <w:right w:val="nil"/>
                  </w:tcBorders>
                </w:tcPr>
                <w:p w:rsidR="00657CA4" w:rsidRDefault="00657CA4">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Construcciones en Proceso en Bienes de Dominio Público</w:t>
                  </w:r>
                </w:p>
              </w:tc>
              <w:tc>
                <w:tcPr>
                  <w:tcW w:w="1901" w:type="dxa"/>
                  <w:tcBorders>
                    <w:top w:val="nil"/>
                    <w:left w:val="nil"/>
                    <w:bottom w:val="nil"/>
                    <w:right w:val="single" w:sz="6" w:space="0" w:color="auto"/>
                  </w:tcBorders>
                </w:tcPr>
                <w:p w:rsidR="00657CA4" w:rsidRPr="00045D7C" w:rsidRDefault="00657CA4">
                  <w:pPr>
                    <w:autoSpaceDE w:val="0"/>
                    <w:autoSpaceDN w:val="0"/>
                    <w:adjustRightInd w:val="0"/>
                    <w:spacing w:after="0"/>
                    <w:rPr>
                      <w:rFonts w:ascii="Arial" w:hAnsi="Arial" w:cs="Arial"/>
                      <w:color w:val="000000"/>
                      <w:sz w:val="18"/>
                      <w:szCs w:val="18"/>
                      <w:lang w:eastAsia="es-MX"/>
                    </w:rPr>
                  </w:pPr>
                  <w:r w:rsidRPr="00045D7C">
                    <w:rPr>
                      <w:rFonts w:ascii="Arial" w:hAnsi="Arial" w:cs="Arial"/>
                      <w:color w:val="000000"/>
                      <w:sz w:val="18"/>
                      <w:szCs w:val="18"/>
                      <w:lang w:eastAsia="es-MX"/>
                    </w:rPr>
                    <w:t xml:space="preserve">    1,065,438,506.70 </w:t>
                  </w:r>
                </w:p>
              </w:tc>
              <w:tc>
                <w:tcPr>
                  <w:tcW w:w="1910" w:type="dxa"/>
                  <w:tcBorders>
                    <w:top w:val="nil"/>
                    <w:left w:val="nil"/>
                    <w:bottom w:val="nil"/>
                    <w:right w:val="single" w:sz="6" w:space="0" w:color="auto"/>
                  </w:tcBorders>
                </w:tcPr>
                <w:p w:rsidR="00657CA4" w:rsidRPr="00045D7C" w:rsidRDefault="00657CA4">
                  <w:pPr>
                    <w:autoSpaceDE w:val="0"/>
                    <w:autoSpaceDN w:val="0"/>
                    <w:adjustRightInd w:val="0"/>
                    <w:spacing w:after="0"/>
                    <w:rPr>
                      <w:rFonts w:ascii="Arial" w:hAnsi="Arial" w:cs="Arial"/>
                      <w:color w:val="000000"/>
                      <w:sz w:val="18"/>
                      <w:szCs w:val="18"/>
                      <w:lang w:eastAsia="es-MX"/>
                    </w:rPr>
                  </w:pPr>
                  <w:r w:rsidRPr="00045D7C">
                    <w:rPr>
                      <w:rFonts w:ascii="Arial" w:hAnsi="Arial" w:cs="Arial"/>
                      <w:color w:val="000000"/>
                      <w:sz w:val="18"/>
                      <w:szCs w:val="18"/>
                      <w:lang w:eastAsia="es-MX"/>
                    </w:rPr>
                    <w:t xml:space="preserve">        145,307,326.07 </w:t>
                  </w:r>
                </w:p>
              </w:tc>
            </w:tr>
            <w:tr w:rsidR="00657CA4">
              <w:tc>
                <w:tcPr>
                  <w:tcW w:w="5210" w:type="dxa"/>
                  <w:tcBorders>
                    <w:top w:val="nil"/>
                    <w:left w:val="single" w:sz="6" w:space="0" w:color="auto"/>
                    <w:bottom w:val="nil"/>
                    <w:right w:val="nil"/>
                  </w:tcBorders>
                </w:tcPr>
                <w:p w:rsidR="00657CA4" w:rsidRDefault="00657CA4">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Construcciones en Proceso en Bienes Propios</w:t>
                  </w:r>
                </w:p>
              </w:tc>
              <w:tc>
                <w:tcPr>
                  <w:tcW w:w="1901" w:type="dxa"/>
                  <w:tcBorders>
                    <w:top w:val="nil"/>
                    <w:left w:val="nil"/>
                    <w:bottom w:val="nil"/>
                    <w:right w:val="single" w:sz="6" w:space="0" w:color="auto"/>
                  </w:tcBorders>
                </w:tcPr>
                <w:p w:rsidR="00657CA4" w:rsidRPr="00045D7C" w:rsidRDefault="00657CA4" w:rsidP="00045D7C">
                  <w:pPr>
                    <w:pStyle w:val="Prrafodelista"/>
                    <w:numPr>
                      <w:ilvl w:val="0"/>
                      <w:numId w:val="1"/>
                    </w:numPr>
                    <w:autoSpaceDE w:val="0"/>
                    <w:autoSpaceDN w:val="0"/>
                    <w:adjustRightInd w:val="0"/>
                    <w:spacing w:after="0"/>
                    <w:jc w:val="right"/>
                    <w:rPr>
                      <w:rFonts w:ascii="Arial" w:hAnsi="Arial" w:cs="Arial"/>
                      <w:color w:val="000000"/>
                      <w:sz w:val="18"/>
                      <w:szCs w:val="18"/>
                      <w:lang w:eastAsia="es-MX"/>
                    </w:rPr>
                  </w:pPr>
                  <w:r w:rsidRPr="00045D7C">
                    <w:rPr>
                      <w:rFonts w:ascii="Arial" w:hAnsi="Arial" w:cs="Arial"/>
                      <w:color w:val="000000"/>
                      <w:sz w:val="18"/>
                      <w:szCs w:val="18"/>
                      <w:lang w:eastAsia="es-MX"/>
                    </w:rPr>
                    <w:t xml:space="preserve"> </w:t>
                  </w:r>
                </w:p>
              </w:tc>
              <w:tc>
                <w:tcPr>
                  <w:tcW w:w="1910" w:type="dxa"/>
                  <w:tcBorders>
                    <w:top w:val="nil"/>
                    <w:left w:val="nil"/>
                    <w:bottom w:val="nil"/>
                    <w:right w:val="single" w:sz="6" w:space="0" w:color="auto"/>
                  </w:tcBorders>
                </w:tcPr>
                <w:p w:rsidR="00657CA4" w:rsidRPr="00045D7C" w:rsidRDefault="00657CA4">
                  <w:pPr>
                    <w:autoSpaceDE w:val="0"/>
                    <w:autoSpaceDN w:val="0"/>
                    <w:adjustRightInd w:val="0"/>
                    <w:spacing w:after="0"/>
                    <w:rPr>
                      <w:rFonts w:ascii="Arial" w:hAnsi="Arial" w:cs="Arial"/>
                      <w:color w:val="000000"/>
                      <w:sz w:val="18"/>
                      <w:szCs w:val="18"/>
                      <w:lang w:eastAsia="es-MX"/>
                    </w:rPr>
                  </w:pPr>
                  <w:r w:rsidRPr="00045D7C">
                    <w:rPr>
                      <w:rFonts w:ascii="Arial" w:hAnsi="Arial" w:cs="Arial"/>
                      <w:color w:val="000000"/>
                      <w:sz w:val="18"/>
                      <w:szCs w:val="18"/>
                      <w:lang w:eastAsia="es-MX"/>
                    </w:rPr>
                    <w:t xml:space="preserve"> </w:t>
                  </w:r>
                </w:p>
              </w:tc>
            </w:tr>
            <w:tr w:rsidR="00657CA4">
              <w:tc>
                <w:tcPr>
                  <w:tcW w:w="5210" w:type="dxa"/>
                  <w:tcBorders>
                    <w:top w:val="nil"/>
                    <w:left w:val="single" w:sz="6" w:space="0" w:color="auto"/>
                    <w:bottom w:val="nil"/>
                    <w:right w:val="nil"/>
                  </w:tcBorders>
                </w:tcPr>
                <w:p w:rsidR="00657CA4" w:rsidRDefault="00657CA4">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Otros Bienes Inmuebles</w:t>
                  </w:r>
                </w:p>
              </w:tc>
              <w:tc>
                <w:tcPr>
                  <w:tcW w:w="1901" w:type="dxa"/>
                  <w:tcBorders>
                    <w:top w:val="nil"/>
                    <w:left w:val="nil"/>
                    <w:bottom w:val="nil"/>
                    <w:right w:val="single" w:sz="6" w:space="0" w:color="auto"/>
                  </w:tcBorders>
                </w:tcPr>
                <w:p w:rsidR="00657CA4" w:rsidRPr="00045D7C" w:rsidRDefault="00657CA4">
                  <w:pPr>
                    <w:autoSpaceDE w:val="0"/>
                    <w:autoSpaceDN w:val="0"/>
                    <w:adjustRightInd w:val="0"/>
                    <w:spacing w:after="0"/>
                    <w:rPr>
                      <w:rFonts w:ascii="Arial" w:hAnsi="Arial" w:cs="Arial"/>
                      <w:color w:val="000000"/>
                      <w:sz w:val="18"/>
                      <w:szCs w:val="18"/>
                      <w:lang w:eastAsia="es-MX"/>
                    </w:rPr>
                  </w:pPr>
                  <w:r w:rsidRPr="00045D7C">
                    <w:rPr>
                      <w:rFonts w:ascii="Arial" w:hAnsi="Arial" w:cs="Arial"/>
                      <w:color w:val="000000"/>
                      <w:sz w:val="18"/>
                      <w:szCs w:val="18"/>
                      <w:lang w:eastAsia="es-MX"/>
                    </w:rPr>
                    <w:t xml:space="preserve">                                -   </w:t>
                  </w:r>
                </w:p>
              </w:tc>
              <w:tc>
                <w:tcPr>
                  <w:tcW w:w="1910" w:type="dxa"/>
                  <w:tcBorders>
                    <w:top w:val="nil"/>
                    <w:left w:val="nil"/>
                    <w:bottom w:val="nil"/>
                    <w:right w:val="single" w:sz="6" w:space="0" w:color="auto"/>
                  </w:tcBorders>
                </w:tcPr>
                <w:p w:rsidR="00657CA4" w:rsidRPr="00045D7C" w:rsidRDefault="00657CA4">
                  <w:pPr>
                    <w:autoSpaceDE w:val="0"/>
                    <w:autoSpaceDN w:val="0"/>
                    <w:adjustRightInd w:val="0"/>
                    <w:spacing w:after="0"/>
                    <w:rPr>
                      <w:rFonts w:ascii="Arial" w:hAnsi="Arial" w:cs="Arial"/>
                      <w:color w:val="000000"/>
                      <w:sz w:val="18"/>
                      <w:szCs w:val="18"/>
                      <w:lang w:eastAsia="es-MX"/>
                    </w:rPr>
                  </w:pPr>
                  <w:r w:rsidRPr="00045D7C">
                    <w:rPr>
                      <w:rFonts w:ascii="Arial" w:hAnsi="Arial" w:cs="Arial"/>
                      <w:color w:val="000000"/>
                      <w:sz w:val="18"/>
                      <w:szCs w:val="18"/>
                      <w:lang w:eastAsia="es-MX"/>
                    </w:rPr>
                    <w:t xml:space="preserve">                                 -   </w:t>
                  </w:r>
                </w:p>
              </w:tc>
            </w:tr>
            <w:tr w:rsidR="00657CA4">
              <w:tc>
                <w:tcPr>
                  <w:tcW w:w="5210" w:type="dxa"/>
                  <w:tcBorders>
                    <w:top w:val="single" w:sz="6" w:space="0" w:color="auto"/>
                    <w:left w:val="single" w:sz="6" w:space="0" w:color="auto"/>
                    <w:bottom w:val="single" w:sz="6" w:space="0" w:color="auto"/>
                    <w:right w:val="nil"/>
                  </w:tcBorders>
                </w:tcPr>
                <w:p w:rsidR="00657CA4" w:rsidRDefault="00657CA4">
                  <w:pPr>
                    <w:autoSpaceDE w:val="0"/>
                    <w:autoSpaceDN w:val="0"/>
                    <w:adjustRightInd w:val="0"/>
                    <w:spacing w:after="0"/>
                    <w:rPr>
                      <w:rFonts w:ascii="Arial" w:hAnsi="Arial" w:cs="Arial"/>
                      <w:b/>
                      <w:bCs/>
                      <w:color w:val="000000"/>
                      <w:sz w:val="18"/>
                      <w:szCs w:val="18"/>
                      <w:lang w:eastAsia="es-MX"/>
                    </w:rPr>
                  </w:pPr>
                  <w:r>
                    <w:rPr>
                      <w:rFonts w:ascii="Arial" w:hAnsi="Arial" w:cs="Arial"/>
                      <w:b/>
                      <w:bCs/>
                      <w:color w:val="000000"/>
                      <w:sz w:val="18"/>
                      <w:szCs w:val="18"/>
                      <w:lang w:eastAsia="es-MX"/>
                    </w:rPr>
                    <w:t>Bienes Muebles</w:t>
                  </w:r>
                </w:p>
              </w:tc>
              <w:tc>
                <w:tcPr>
                  <w:tcW w:w="1901" w:type="dxa"/>
                  <w:tcBorders>
                    <w:top w:val="single" w:sz="6" w:space="0" w:color="auto"/>
                    <w:left w:val="nil"/>
                    <w:bottom w:val="single" w:sz="6" w:space="0" w:color="auto"/>
                    <w:right w:val="single" w:sz="6" w:space="0" w:color="auto"/>
                  </w:tcBorders>
                </w:tcPr>
                <w:p w:rsidR="00657CA4" w:rsidRPr="00045D7C" w:rsidRDefault="00657CA4">
                  <w:pPr>
                    <w:autoSpaceDE w:val="0"/>
                    <w:autoSpaceDN w:val="0"/>
                    <w:adjustRightInd w:val="0"/>
                    <w:spacing w:after="0"/>
                    <w:rPr>
                      <w:rFonts w:ascii="Arial" w:hAnsi="Arial" w:cs="Arial"/>
                      <w:b/>
                      <w:bCs/>
                      <w:color w:val="000000"/>
                      <w:sz w:val="18"/>
                      <w:szCs w:val="18"/>
                      <w:lang w:eastAsia="es-MX"/>
                    </w:rPr>
                  </w:pPr>
                  <w:r w:rsidRPr="00045D7C">
                    <w:rPr>
                      <w:rFonts w:ascii="Arial" w:hAnsi="Arial" w:cs="Arial"/>
                      <w:b/>
                      <w:bCs/>
                      <w:color w:val="000000"/>
                      <w:sz w:val="18"/>
                      <w:szCs w:val="18"/>
                      <w:lang w:eastAsia="es-MX"/>
                    </w:rPr>
                    <w:t xml:space="preserve">         56,857,991.06</w:t>
                  </w:r>
                </w:p>
              </w:tc>
              <w:tc>
                <w:tcPr>
                  <w:tcW w:w="1910" w:type="dxa"/>
                  <w:tcBorders>
                    <w:top w:val="single" w:sz="6" w:space="0" w:color="auto"/>
                    <w:left w:val="nil"/>
                    <w:bottom w:val="single" w:sz="6" w:space="0" w:color="auto"/>
                    <w:right w:val="single" w:sz="6" w:space="0" w:color="auto"/>
                  </w:tcBorders>
                </w:tcPr>
                <w:p w:rsidR="00657CA4" w:rsidRPr="00045D7C" w:rsidRDefault="00657CA4">
                  <w:pPr>
                    <w:autoSpaceDE w:val="0"/>
                    <w:autoSpaceDN w:val="0"/>
                    <w:adjustRightInd w:val="0"/>
                    <w:spacing w:after="0"/>
                    <w:rPr>
                      <w:rFonts w:ascii="Arial" w:hAnsi="Arial" w:cs="Arial"/>
                      <w:b/>
                      <w:bCs/>
                      <w:color w:val="000000"/>
                      <w:sz w:val="18"/>
                      <w:szCs w:val="18"/>
                      <w:lang w:eastAsia="es-MX"/>
                    </w:rPr>
                  </w:pPr>
                  <w:r w:rsidRPr="00045D7C">
                    <w:rPr>
                      <w:rFonts w:ascii="Arial" w:hAnsi="Arial" w:cs="Arial"/>
                      <w:b/>
                      <w:bCs/>
                      <w:color w:val="000000"/>
                      <w:sz w:val="18"/>
                      <w:szCs w:val="18"/>
                      <w:lang w:eastAsia="es-MX"/>
                    </w:rPr>
                    <w:t xml:space="preserve">          15,108,143.31 </w:t>
                  </w:r>
                </w:p>
              </w:tc>
            </w:tr>
            <w:tr w:rsidR="00657CA4">
              <w:tc>
                <w:tcPr>
                  <w:tcW w:w="5210" w:type="dxa"/>
                  <w:tcBorders>
                    <w:top w:val="nil"/>
                    <w:left w:val="single" w:sz="6" w:space="0" w:color="auto"/>
                    <w:bottom w:val="nil"/>
                    <w:right w:val="nil"/>
                  </w:tcBorders>
                </w:tcPr>
                <w:p w:rsidR="00657CA4" w:rsidRDefault="00657CA4">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Mobiliario y equipo de Administración</w:t>
                  </w:r>
                </w:p>
              </w:tc>
              <w:tc>
                <w:tcPr>
                  <w:tcW w:w="1901" w:type="dxa"/>
                  <w:tcBorders>
                    <w:top w:val="nil"/>
                    <w:left w:val="nil"/>
                    <w:bottom w:val="nil"/>
                    <w:right w:val="single" w:sz="6" w:space="0" w:color="auto"/>
                  </w:tcBorders>
                </w:tcPr>
                <w:p w:rsidR="00657CA4" w:rsidRPr="00045D7C" w:rsidRDefault="00657CA4">
                  <w:pPr>
                    <w:autoSpaceDE w:val="0"/>
                    <w:autoSpaceDN w:val="0"/>
                    <w:adjustRightInd w:val="0"/>
                    <w:spacing w:after="0"/>
                    <w:rPr>
                      <w:rFonts w:ascii="Arial" w:hAnsi="Arial" w:cs="Arial"/>
                      <w:color w:val="000000"/>
                      <w:sz w:val="18"/>
                      <w:szCs w:val="18"/>
                      <w:lang w:eastAsia="es-MX"/>
                    </w:rPr>
                  </w:pPr>
                  <w:r w:rsidRPr="00045D7C">
                    <w:rPr>
                      <w:rFonts w:ascii="Arial" w:hAnsi="Arial" w:cs="Arial"/>
                      <w:color w:val="000000"/>
                      <w:sz w:val="18"/>
                      <w:szCs w:val="18"/>
                      <w:lang w:eastAsia="es-MX"/>
                    </w:rPr>
                    <w:t xml:space="preserve">         33,394,127.14 </w:t>
                  </w:r>
                </w:p>
              </w:tc>
              <w:tc>
                <w:tcPr>
                  <w:tcW w:w="1910" w:type="dxa"/>
                  <w:tcBorders>
                    <w:top w:val="nil"/>
                    <w:left w:val="nil"/>
                    <w:bottom w:val="nil"/>
                    <w:right w:val="single" w:sz="6" w:space="0" w:color="auto"/>
                  </w:tcBorders>
                </w:tcPr>
                <w:p w:rsidR="00657CA4" w:rsidRPr="00045D7C" w:rsidRDefault="00657CA4">
                  <w:pPr>
                    <w:autoSpaceDE w:val="0"/>
                    <w:autoSpaceDN w:val="0"/>
                    <w:adjustRightInd w:val="0"/>
                    <w:spacing w:after="0"/>
                    <w:rPr>
                      <w:rFonts w:ascii="Arial" w:hAnsi="Arial" w:cs="Arial"/>
                      <w:color w:val="000000"/>
                      <w:sz w:val="18"/>
                      <w:szCs w:val="18"/>
                      <w:lang w:eastAsia="es-MX"/>
                    </w:rPr>
                  </w:pPr>
                  <w:r w:rsidRPr="00045D7C">
                    <w:rPr>
                      <w:rFonts w:ascii="Arial" w:hAnsi="Arial" w:cs="Arial"/>
                      <w:color w:val="000000"/>
                      <w:sz w:val="18"/>
                      <w:szCs w:val="18"/>
                      <w:lang w:eastAsia="es-MX"/>
                    </w:rPr>
                    <w:t xml:space="preserve">             4,829,186.41 </w:t>
                  </w:r>
                </w:p>
              </w:tc>
            </w:tr>
            <w:tr w:rsidR="00657CA4">
              <w:tc>
                <w:tcPr>
                  <w:tcW w:w="5210" w:type="dxa"/>
                  <w:tcBorders>
                    <w:top w:val="nil"/>
                    <w:left w:val="single" w:sz="6" w:space="0" w:color="auto"/>
                    <w:bottom w:val="nil"/>
                    <w:right w:val="nil"/>
                  </w:tcBorders>
                </w:tcPr>
                <w:p w:rsidR="00657CA4" w:rsidRDefault="00657CA4">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Mobiliario y equipo educacional y recreativo</w:t>
                  </w:r>
                </w:p>
              </w:tc>
              <w:tc>
                <w:tcPr>
                  <w:tcW w:w="1901" w:type="dxa"/>
                  <w:tcBorders>
                    <w:top w:val="nil"/>
                    <w:left w:val="nil"/>
                    <w:bottom w:val="nil"/>
                    <w:right w:val="single" w:sz="6" w:space="0" w:color="auto"/>
                  </w:tcBorders>
                </w:tcPr>
                <w:p w:rsidR="00657CA4" w:rsidRPr="00045D7C" w:rsidRDefault="00657CA4">
                  <w:pPr>
                    <w:autoSpaceDE w:val="0"/>
                    <w:autoSpaceDN w:val="0"/>
                    <w:adjustRightInd w:val="0"/>
                    <w:spacing w:after="0"/>
                    <w:rPr>
                      <w:rFonts w:ascii="Arial" w:hAnsi="Arial" w:cs="Arial"/>
                      <w:color w:val="000000"/>
                      <w:sz w:val="18"/>
                      <w:szCs w:val="18"/>
                      <w:lang w:eastAsia="es-MX"/>
                    </w:rPr>
                  </w:pPr>
                  <w:r w:rsidRPr="00045D7C">
                    <w:rPr>
                      <w:rFonts w:ascii="Arial" w:hAnsi="Arial" w:cs="Arial"/>
                      <w:color w:val="000000"/>
                      <w:sz w:val="18"/>
                      <w:szCs w:val="18"/>
                      <w:lang w:eastAsia="es-MX"/>
                    </w:rPr>
                    <w:t xml:space="preserve">         13,519,141.57 </w:t>
                  </w:r>
                </w:p>
              </w:tc>
              <w:tc>
                <w:tcPr>
                  <w:tcW w:w="1910" w:type="dxa"/>
                  <w:tcBorders>
                    <w:top w:val="nil"/>
                    <w:left w:val="nil"/>
                    <w:bottom w:val="nil"/>
                    <w:right w:val="single" w:sz="6" w:space="0" w:color="auto"/>
                  </w:tcBorders>
                </w:tcPr>
                <w:p w:rsidR="00657CA4" w:rsidRPr="00045D7C" w:rsidRDefault="00657CA4">
                  <w:pPr>
                    <w:autoSpaceDE w:val="0"/>
                    <w:autoSpaceDN w:val="0"/>
                    <w:adjustRightInd w:val="0"/>
                    <w:spacing w:after="0"/>
                    <w:rPr>
                      <w:rFonts w:ascii="Arial" w:hAnsi="Arial" w:cs="Arial"/>
                      <w:color w:val="000000"/>
                      <w:sz w:val="18"/>
                      <w:szCs w:val="18"/>
                      <w:lang w:eastAsia="es-MX"/>
                    </w:rPr>
                  </w:pPr>
                  <w:r w:rsidRPr="00045D7C">
                    <w:rPr>
                      <w:rFonts w:ascii="Arial" w:hAnsi="Arial" w:cs="Arial"/>
                      <w:color w:val="000000"/>
                      <w:sz w:val="18"/>
                      <w:szCs w:val="18"/>
                      <w:lang w:eastAsia="es-MX"/>
                    </w:rPr>
                    <w:t xml:space="preserve">                                 -   </w:t>
                  </w:r>
                </w:p>
              </w:tc>
            </w:tr>
            <w:tr w:rsidR="00657CA4">
              <w:tc>
                <w:tcPr>
                  <w:tcW w:w="5210" w:type="dxa"/>
                  <w:tcBorders>
                    <w:top w:val="nil"/>
                    <w:left w:val="single" w:sz="6" w:space="0" w:color="auto"/>
                    <w:bottom w:val="nil"/>
                    <w:right w:val="nil"/>
                  </w:tcBorders>
                </w:tcPr>
                <w:p w:rsidR="00657CA4" w:rsidRDefault="00657CA4">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Equipo e instrumental médico y de laboratorio</w:t>
                  </w:r>
                </w:p>
              </w:tc>
              <w:tc>
                <w:tcPr>
                  <w:tcW w:w="1901" w:type="dxa"/>
                  <w:tcBorders>
                    <w:top w:val="nil"/>
                    <w:left w:val="nil"/>
                    <w:bottom w:val="nil"/>
                    <w:right w:val="single" w:sz="6" w:space="0" w:color="auto"/>
                  </w:tcBorders>
                </w:tcPr>
                <w:p w:rsidR="00657CA4" w:rsidRPr="00045D7C" w:rsidRDefault="00657CA4">
                  <w:pPr>
                    <w:autoSpaceDE w:val="0"/>
                    <w:autoSpaceDN w:val="0"/>
                    <w:adjustRightInd w:val="0"/>
                    <w:spacing w:after="0"/>
                    <w:rPr>
                      <w:rFonts w:ascii="Arial" w:hAnsi="Arial" w:cs="Arial"/>
                      <w:color w:val="000000"/>
                      <w:sz w:val="18"/>
                      <w:szCs w:val="18"/>
                      <w:lang w:eastAsia="es-MX"/>
                    </w:rPr>
                  </w:pPr>
                  <w:r w:rsidRPr="00045D7C">
                    <w:rPr>
                      <w:rFonts w:ascii="Arial" w:hAnsi="Arial" w:cs="Arial"/>
                      <w:color w:val="000000"/>
                      <w:sz w:val="18"/>
                      <w:szCs w:val="18"/>
                      <w:lang w:eastAsia="es-MX"/>
                    </w:rPr>
                    <w:t xml:space="preserve">            1,939,520.00 </w:t>
                  </w:r>
                </w:p>
              </w:tc>
              <w:tc>
                <w:tcPr>
                  <w:tcW w:w="1910" w:type="dxa"/>
                  <w:tcBorders>
                    <w:top w:val="nil"/>
                    <w:left w:val="nil"/>
                    <w:bottom w:val="nil"/>
                    <w:right w:val="single" w:sz="6" w:space="0" w:color="auto"/>
                  </w:tcBorders>
                </w:tcPr>
                <w:p w:rsidR="00657CA4" w:rsidRPr="00045D7C" w:rsidRDefault="00657CA4">
                  <w:pPr>
                    <w:autoSpaceDE w:val="0"/>
                    <w:autoSpaceDN w:val="0"/>
                    <w:adjustRightInd w:val="0"/>
                    <w:spacing w:after="0"/>
                    <w:rPr>
                      <w:rFonts w:ascii="Arial" w:hAnsi="Arial" w:cs="Arial"/>
                      <w:color w:val="000000"/>
                      <w:sz w:val="18"/>
                      <w:szCs w:val="18"/>
                      <w:lang w:eastAsia="es-MX"/>
                    </w:rPr>
                  </w:pPr>
                  <w:r w:rsidRPr="00045D7C">
                    <w:rPr>
                      <w:rFonts w:ascii="Arial" w:hAnsi="Arial" w:cs="Arial"/>
                      <w:color w:val="000000"/>
                      <w:sz w:val="18"/>
                      <w:szCs w:val="18"/>
                      <w:lang w:eastAsia="es-MX"/>
                    </w:rPr>
                    <w:t xml:space="preserve">                                 -   </w:t>
                  </w:r>
                </w:p>
              </w:tc>
            </w:tr>
            <w:tr w:rsidR="00657CA4">
              <w:tc>
                <w:tcPr>
                  <w:tcW w:w="5210" w:type="dxa"/>
                  <w:tcBorders>
                    <w:top w:val="nil"/>
                    <w:left w:val="single" w:sz="6" w:space="0" w:color="auto"/>
                    <w:bottom w:val="nil"/>
                    <w:right w:val="nil"/>
                  </w:tcBorders>
                </w:tcPr>
                <w:p w:rsidR="00657CA4" w:rsidRDefault="00657CA4">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Vehículos y equipo de transporte</w:t>
                  </w:r>
                </w:p>
              </w:tc>
              <w:tc>
                <w:tcPr>
                  <w:tcW w:w="1901" w:type="dxa"/>
                  <w:tcBorders>
                    <w:top w:val="nil"/>
                    <w:left w:val="nil"/>
                    <w:bottom w:val="nil"/>
                    <w:right w:val="single" w:sz="6" w:space="0" w:color="auto"/>
                  </w:tcBorders>
                </w:tcPr>
                <w:p w:rsidR="00657CA4" w:rsidRPr="00045D7C" w:rsidRDefault="00657CA4">
                  <w:pPr>
                    <w:autoSpaceDE w:val="0"/>
                    <w:autoSpaceDN w:val="0"/>
                    <w:adjustRightInd w:val="0"/>
                    <w:spacing w:after="0"/>
                    <w:rPr>
                      <w:rFonts w:ascii="Arial" w:hAnsi="Arial" w:cs="Arial"/>
                      <w:color w:val="000000"/>
                      <w:sz w:val="18"/>
                      <w:szCs w:val="18"/>
                      <w:lang w:eastAsia="es-MX"/>
                    </w:rPr>
                  </w:pPr>
                  <w:r w:rsidRPr="00045D7C">
                    <w:rPr>
                      <w:rFonts w:ascii="Arial" w:hAnsi="Arial" w:cs="Arial"/>
                      <w:color w:val="000000"/>
                      <w:sz w:val="18"/>
                      <w:szCs w:val="18"/>
                      <w:lang w:eastAsia="es-MX"/>
                    </w:rPr>
                    <w:t xml:space="preserve">                226,220.00   </w:t>
                  </w:r>
                </w:p>
              </w:tc>
              <w:tc>
                <w:tcPr>
                  <w:tcW w:w="1910" w:type="dxa"/>
                  <w:tcBorders>
                    <w:top w:val="nil"/>
                    <w:left w:val="nil"/>
                    <w:bottom w:val="nil"/>
                    <w:right w:val="single" w:sz="6" w:space="0" w:color="auto"/>
                  </w:tcBorders>
                </w:tcPr>
                <w:p w:rsidR="00657CA4" w:rsidRPr="00045D7C" w:rsidRDefault="00657CA4">
                  <w:pPr>
                    <w:autoSpaceDE w:val="0"/>
                    <w:autoSpaceDN w:val="0"/>
                    <w:adjustRightInd w:val="0"/>
                    <w:spacing w:after="0"/>
                    <w:rPr>
                      <w:rFonts w:ascii="Arial" w:hAnsi="Arial" w:cs="Arial"/>
                      <w:color w:val="000000"/>
                      <w:sz w:val="18"/>
                      <w:szCs w:val="18"/>
                      <w:lang w:eastAsia="es-MX"/>
                    </w:rPr>
                  </w:pPr>
                  <w:r w:rsidRPr="00045D7C">
                    <w:rPr>
                      <w:rFonts w:ascii="Arial" w:hAnsi="Arial" w:cs="Arial"/>
                      <w:color w:val="000000"/>
                      <w:sz w:val="18"/>
                      <w:szCs w:val="18"/>
                      <w:lang w:eastAsia="es-MX"/>
                    </w:rPr>
                    <w:t xml:space="preserve">             9,045,819.95 </w:t>
                  </w:r>
                </w:p>
              </w:tc>
            </w:tr>
            <w:tr w:rsidR="00657CA4">
              <w:tc>
                <w:tcPr>
                  <w:tcW w:w="5210" w:type="dxa"/>
                  <w:tcBorders>
                    <w:top w:val="nil"/>
                    <w:left w:val="single" w:sz="6" w:space="0" w:color="auto"/>
                    <w:bottom w:val="nil"/>
                    <w:right w:val="nil"/>
                  </w:tcBorders>
                </w:tcPr>
                <w:p w:rsidR="00657CA4" w:rsidRDefault="00657CA4">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Equipo de Defensa y Seguridad</w:t>
                  </w:r>
                </w:p>
              </w:tc>
              <w:tc>
                <w:tcPr>
                  <w:tcW w:w="1901" w:type="dxa"/>
                  <w:tcBorders>
                    <w:top w:val="nil"/>
                    <w:left w:val="nil"/>
                    <w:bottom w:val="nil"/>
                    <w:right w:val="single" w:sz="6" w:space="0" w:color="auto"/>
                  </w:tcBorders>
                </w:tcPr>
                <w:p w:rsidR="00657CA4" w:rsidRPr="00045D7C" w:rsidRDefault="00657CA4">
                  <w:pPr>
                    <w:autoSpaceDE w:val="0"/>
                    <w:autoSpaceDN w:val="0"/>
                    <w:adjustRightInd w:val="0"/>
                    <w:spacing w:after="0"/>
                    <w:rPr>
                      <w:rFonts w:ascii="Arial" w:hAnsi="Arial" w:cs="Arial"/>
                      <w:color w:val="000000"/>
                      <w:sz w:val="18"/>
                      <w:szCs w:val="18"/>
                      <w:lang w:eastAsia="es-MX"/>
                    </w:rPr>
                  </w:pPr>
                  <w:r w:rsidRPr="00045D7C">
                    <w:rPr>
                      <w:rFonts w:ascii="Arial" w:hAnsi="Arial" w:cs="Arial"/>
                      <w:color w:val="000000"/>
                      <w:sz w:val="18"/>
                      <w:szCs w:val="18"/>
                      <w:lang w:eastAsia="es-MX"/>
                    </w:rPr>
                    <w:t xml:space="preserve">                                -   </w:t>
                  </w:r>
                </w:p>
              </w:tc>
              <w:tc>
                <w:tcPr>
                  <w:tcW w:w="1910" w:type="dxa"/>
                  <w:tcBorders>
                    <w:top w:val="nil"/>
                    <w:left w:val="nil"/>
                    <w:bottom w:val="nil"/>
                    <w:right w:val="single" w:sz="6" w:space="0" w:color="auto"/>
                  </w:tcBorders>
                </w:tcPr>
                <w:p w:rsidR="00657CA4" w:rsidRPr="00045D7C" w:rsidRDefault="00657CA4">
                  <w:pPr>
                    <w:autoSpaceDE w:val="0"/>
                    <w:autoSpaceDN w:val="0"/>
                    <w:adjustRightInd w:val="0"/>
                    <w:spacing w:after="0"/>
                    <w:rPr>
                      <w:rFonts w:ascii="Arial" w:hAnsi="Arial" w:cs="Arial"/>
                      <w:color w:val="000000"/>
                      <w:sz w:val="18"/>
                      <w:szCs w:val="18"/>
                      <w:lang w:eastAsia="es-MX"/>
                    </w:rPr>
                  </w:pPr>
                  <w:r w:rsidRPr="00045D7C">
                    <w:rPr>
                      <w:rFonts w:ascii="Arial" w:hAnsi="Arial" w:cs="Arial"/>
                      <w:color w:val="000000"/>
                      <w:sz w:val="18"/>
                      <w:szCs w:val="18"/>
                      <w:lang w:eastAsia="es-MX"/>
                    </w:rPr>
                    <w:t xml:space="preserve">  $                   -    </w:t>
                  </w:r>
                </w:p>
              </w:tc>
            </w:tr>
            <w:tr w:rsidR="00657CA4">
              <w:tc>
                <w:tcPr>
                  <w:tcW w:w="5210" w:type="dxa"/>
                  <w:tcBorders>
                    <w:top w:val="nil"/>
                    <w:left w:val="single" w:sz="6" w:space="0" w:color="auto"/>
                    <w:bottom w:val="nil"/>
                    <w:right w:val="nil"/>
                  </w:tcBorders>
                </w:tcPr>
                <w:p w:rsidR="00657CA4" w:rsidRDefault="00657CA4">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Maquinaria, Otros Equipos y Herramientas</w:t>
                  </w:r>
                </w:p>
              </w:tc>
              <w:tc>
                <w:tcPr>
                  <w:tcW w:w="1901" w:type="dxa"/>
                  <w:tcBorders>
                    <w:top w:val="nil"/>
                    <w:left w:val="nil"/>
                    <w:bottom w:val="nil"/>
                    <w:right w:val="single" w:sz="6" w:space="0" w:color="auto"/>
                  </w:tcBorders>
                </w:tcPr>
                <w:p w:rsidR="00657CA4" w:rsidRPr="00045D7C" w:rsidRDefault="00657CA4">
                  <w:pPr>
                    <w:autoSpaceDE w:val="0"/>
                    <w:autoSpaceDN w:val="0"/>
                    <w:adjustRightInd w:val="0"/>
                    <w:spacing w:after="0"/>
                    <w:rPr>
                      <w:rFonts w:ascii="Arial" w:hAnsi="Arial" w:cs="Arial"/>
                      <w:color w:val="000000"/>
                      <w:sz w:val="18"/>
                      <w:szCs w:val="18"/>
                      <w:lang w:eastAsia="es-MX"/>
                    </w:rPr>
                  </w:pPr>
                  <w:r w:rsidRPr="00045D7C">
                    <w:rPr>
                      <w:rFonts w:ascii="Arial" w:hAnsi="Arial" w:cs="Arial"/>
                      <w:color w:val="000000"/>
                      <w:sz w:val="18"/>
                      <w:szCs w:val="18"/>
                      <w:lang w:eastAsia="es-MX"/>
                    </w:rPr>
                    <w:t xml:space="preserve">            7,738,982.35 </w:t>
                  </w:r>
                </w:p>
              </w:tc>
              <w:tc>
                <w:tcPr>
                  <w:tcW w:w="1910" w:type="dxa"/>
                  <w:tcBorders>
                    <w:top w:val="nil"/>
                    <w:left w:val="nil"/>
                    <w:bottom w:val="nil"/>
                    <w:right w:val="single" w:sz="6" w:space="0" w:color="auto"/>
                  </w:tcBorders>
                </w:tcPr>
                <w:p w:rsidR="00657CA4" w:rsidRPr="00045D7C" w:rsidRDefault="00657CA4">
                  <w:pPr>
                    <w:autoSpaceDE w:val="0"/>
                    <w:autoSpaceDN w:val="0"/>
                    <w:adjustRightInd w:val="0"/>
                    <w:spacing w:after="0"/>
                    <w:rPr>
                      <w:rFonts w:ascii="Arial" w:hAnsi="Arial" w:cs="Arial"/>
                      <w:color w:val="000000"/>
                      <w:sz w:val="18"/>
                      <w:szCs w:val="18"/>
                      <w:lang w:eastAsia="es-MX"/>
                    </w:rPr>
                  </w:pPr>
                  <w:r w:rsidRPr="00045D7C">
                    <w:rPr>
                      <w:rFonts w:ascii="Arial" w:hAnsi="Arial" w:cs="Arial"/>
                      <w:color w:val="000000"/>
                      <w:sz w:val="18"/>
                      <w:szCs w:val="18"/>
                      <w:lang w:eastAsia="es-MX"/>
                    </w:rPr>
                    <w:t xml:space="preserve">             1,233,136.95 </w:t>
                  </w:r>
                </w:p>
              </w:tc>
            </w:tr>
            <w:tr w:rsidR="00657CA4">
              <w:tc>
                <w:tcPr>
                  <w:tcW w:w="5210" w:type="dxa"/>
                  <w:tcBorders>
                    <w:top w:val="nil"/>
                    <w:left w:val="single" w:sz="6" w:space="0" w:color="auto"/>
                    <w:bottom w:val="nil"/>
                    <w:right w:val="nil"/>
                  </w:tcBorders>
                </w:tcPr>
                <w:p w:rsidR="00657CA4" w:rsidRDefault="00657CA4">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Colecciones, Obras de arte y Objetos Valiosos</w:t>
                  </w:r>
                </w:p>
              </w:tc>
              <w:tc>
                <w:tcPr>
                  <w:tcW w:w="1901" w:type="dxa"/>
                  <w:tcBorders>
                    <w:top w:val="nil"/>
                    <w:left w:val="nil"/>
                    <w:bottom w:val="nil"/>
                    <w:right w:val="single" w:sz="6" w:space="0" w:color="auto"/>
                  </w:tcBorders>
                </w:tcPr>
                <w:p w:rsidR="00657CA4" w:rsidRPr="00045D7C" w:rsidRDefault="00657CA4">
                  <w:pPr>
                    <w:autoSpaceDE w:val="0"/>
                    <w:autoSpaceDN w:val="0"/>
                    <w:adjustRightInd w:val="0"/>
                    <w:spacing w:after="0"/>
                    <w:rPr>
                      <w:rFonts w:ascii="Arial" w:hAnsi="Arial" w:cs="Arial"/>
                      <w:color w:val="000000"/>
                      <w:sz w:val="18"/>
                      <w:szCs w:val="18"/>
                      <w:lang w:eastAsia="es-MX"/>
                    </w:rPr>
                  </w:pPr>
                  <w:r w:rsidRPr="00045D7C">
                    <w:rPr>
                      <w:rFonts w:ascii="Arial" w:hAnsi="Arial" w:cs="Arial"/>
                      <w:color w:val="000000"/>
                      <w:sz w:val="18"/>
                      <w:szCs w:val="18"/>
                      <w:lang w:eastAsia="es-MX"/>
                    </w:rPr>
                    <w:t xml:space="preserve">                                -   </w:t>
                  </w:r>
                </w:p>
              </w:tc>
              <w:tc>
                <w:tcPr>
                  <w:tcW w:w="1910" w:type="dxa"/>
                  <w:tcBorders>
                    <w:top w:val="nil"/>
                    <w:left w:val="nil"/>
                    <w:bottom w:val="nil"/>
                    <w:right w:val="single" w:sz="6" w:space="0" w:color="auto"/>
                  </w:tcBorders>
                </w:tcPr>
                <w:p w:rsidR="00657CA4" w:rsidRPr="00045D7C" w:rsidRDefault="00657CA4">
                  <w:pPr>
                    <w:autoSpaceDE w:val="0"/>
                    <w:autoSpaceDN w:val="0"/>
                    <w:adjustRightInd w:val="0"/>
                    <w:spacing w:after="0"/>
                    <w:rPr>
                      <w:rFonts w:ascii="Arial" w:hAnsi="Arial" w:cs="Arial"/>
                      <w:color w:val="000000"/>
                      <w:sz w:val="18"/>
                      <w:szCs w:val="18"/>
                      <w:lang w:eastAsia="es-MX"/>
                    </w:rPr>
                  </w:pPr>
                  <w:r w:rsidRPr="00045D7C">
                    <w:rPr>
                      <w:rFonts w:ascii="Arial" w:hAnsi="Arial" w:cs="Arial"/>
                      <w:color w:val="000000"/>
                      <w:sz w:val="18"/>
                      <w:szCs w:val="18"/>
                      <w:lang w:eastAsia="es-MX"/>
                    </w:rPr>
                    <w:t xml:space="preserve">  $                   -    </w:t>
                  </w:r>
                </w:p>
              </w:tc>
            </w:tr>
            <w:tr w:rsidR="00657CA4">
              <w:tc>
                <w:tcPr>
                  <w:tcW w:w="5210" w:type="dxa"/>
                  <w:tcBorders>
                    <w:top w:val="nil"/>
                    <w:left w:val="single" w:sz="6" w:space="0" w:color="auto"/>
                    <w:bottom w:val="single" w:sz="6" w:space="0" w:color="auto"/>
                    <w:right w:val="nil"/>
                  </w:tcBorders>
                </w:tcPr>
                <w:p w:rsidR="00657CA4" w:rsidRDefault="00657CA4">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Activos Biológicos</w:t>
                  </w:r>
                </w:p>
              </w:tc>
              <w:tc>
                <w:tcPr>
                  <w:tcW w:w="1901" w:type="dxa"/>
                  <w:tcBorders>
                    <w:top w:val="nil"/>
                    <w:left w:val="nil"/>
                    <w:bottom w:val="single" w:sz="6" w:space="0" w:color="auto"/>
                    <w:right w:val="single" w:sz="6" w:space="0" w:color="auto"/>
                  </w:tcBorders>
                </w:tcPr>
                <w:p w:rsidR="00657CA4" w:rsidRPr="00045D7C" w:rsidRDefault="00657CA4">
                  <w:pPr>
                    <w:autoSpaceDE w:val="0"/>
                    <w:autoSpaceDN w:val="0"/>
                    <w:adjustRightInd w:val="0"/>
                    <w:spacing w:after="0"/>
                    <w:rPr>
                      <w:rFonts w:ascii="Arial" w:hAnsi="Arial" w:cs="Arial"/>
                      <w:color w:val="000000"/>
                      <w:sz w:val="18"/>
                      <w:szCs w:val="18"/>
                      <w:lang w:eastAsia="es-MX"/>
                    </w:rPr>
                  </w:pPr>
                  <w:r w:rsidRPr="00045D7C">
                    <w:rPr>
                      <w:rFonts w:ascii="Arial" w:hAnsi="Arial" w:cs="Arial"/>
                      <w:color w:val="000000"/>
                      <w:sz w:val="18"/>
                      <w:szCs w:val="18"/>
                      <w:lang w:eastAsia="es-MX"/>
                    </w:rPr>
                    <w:t xml:space="preserve">                                -   </w:t>
                  </w:r>
                </w:p>
              </w:tc>
              <w:tc>
                <w:tcPr>
                  <w:tcW w:w="1910" w:type="dxa"/>
                  <w:tcBorders>
                    <w:top w:val="nil"/>
                    <w:left w:val="nil"/>
                    <w:bottom w:val="single" w:sz="6" w:space="0" w:color="auto"/>
                    <w:right w:val="single" w:sz="6" w:space="0" w:color="auto"/>
                  </w:tcBorders>
                </w:tcPr>
                <w:p w:rsidR="00657CA4" w:rsidRPr="00045D7C" w:rsidRDefault="00657CA4">
                  <w:pPr>
                    <w:autoSpaceDE w:val="0"/>
                    <w:autoSpaceDN w:val="0"/>
                    <w:adjustRightInd w:val="0"/>
                    <w:spacing w:after="0"/>
                    <w:rPr>
                      <w:rFonts w:ascii="Arial" w:hAnsi="Arial" w:cs="Arial"/>
                      <w:color w:val="000000"/>
                      <w:sz w:val="18"/>
                      <w:szCs w:val="18"/>
                      <w:lang w:eastAsia="es-MX"/>
                    </w:rPr>
                  </w:pPr>
                  <w:r w:rsidRPr="00045D7C">
                    <w:rPr>
                      <w:rFonts w:ascii="Arial" w:hAnsi="Arial" w:cs="Arial"/>
                      <w:color w:val="000000"/>
                      <w:sz w:val="18"/>
                      <w:szCs w:val="18"/>
                      <w:lang w:eastAsia="es-MX"/>
                    </w:rPr>
                    <w:t xml:space="preserve">  $                   -    </w:t>
                  </w:r>
                </w:p>
              </w:tc>
            </w:tr>
          </w:tbl>
          <w:p w:rsidR="00657CA4" w:rsidRDefault="00657CA4" w:rsidP="00657CA4">
            <w:pPr>
              <w:tabs>
                <w:tab w:val="left" w:pos="2970"/>
              </w:tabs>
              <w:autoSpaceDE w:val="0"/>
              <w:autoSpaceDN w:val="0"/>
              <w:adjustRightInd w:val="0"/>
              <w:jc w:val="both"/>
              <w:rPr>
                <w:rFonts w:ascii="Arial" w:hAnsi="Arial" w:cs="Arial"/>
                <w:lang w:eastAsia="es-MX"/>
              </w:rPr>
            </w:pPr>
          </w:p>
          <w:p w:rsidR="00657CA4" w:rsidRDefault="00657CA4" w:rsidP="00657CA4">
            <w:pPr>
              <w:tabs>
                <w:tab w:val="left" w:pos="2970"/>
              </w:tabs>
              <w:autoSpaceDE w:val="0"/>
              <w:autoSpaceDN w:val="0"/>
              <w:adjustRightInd w:val="0"/>
              <w:jc w:val="both"/>
              <w:rPr>
                <w:rFonts w:ascii="Arial" w:hAnsi="Arial" w:cs="Arial"/>
                <w:lang w:eastAsia="es-MX"/>
              </w:rPr>
            </w:pPr>
          </w:p>
          <w:p w:rsidR="00657CA4" w:rsidRDefault="00657CA4" w:rsidP="00657CA4">
            <w:pPr>
              <w:tabs>
                <w:tab w:val="left" w:pos="2970"/>
              </w:tabs>
              <w:autoSpaceDE w:val="0"/>
              <w:autoSpaceDN w:val="0"/>
              <w:adjustRightInd w:val="0"/>
              <w:ind w:left="720" w:hanging="360"/>
              <w:jc w:val="both"/>
              <w:rPr>
                <w:rFonts w:ascii="Arial" w:hAnsi="Arial" w:cs="Arial"/>
                <w:lang w:eastAsia="es-MX"/>
              </w:rPr>
            </w:pPr>
            <w:r>
              <w:rPr>
                <w:rFonts w:ascii="Arial" w:hAnsi="Arial" w:cs="Arial"/>
                <w:lang w:eastAsia="es-MX"/>
              </w:rPr>
              <w:t>3.</w:t>
            </w:r>
            <w:r>
              <w:rPr>
                <w:rFonts w:ascii="Arial" w:hAnsi="Arial" w:cs="Arial"/>
                <w:lang w:eastAsia="es-MX"/>
              </w:rPr>
              <w:tab/>
              <w:t>Presentar la Conciliación de los Flujos Netos de las Actividades de Operación y los saldos de Resultados del Ejercicio (Ahorro/ Desahorro), utilizando el siguiente cuadro:</w:t>
            </w:r>
          </w:p>
          <w:tbl>
            <w:tblPr>
              <w:tblW w:w="0" w:type="auto"/>
              <w:tblCellMar>
                <w:left w:w="70" w:type="dxa"/>
                <w:right w:w="70" w:type="dxa"/>
              </w:tblCellMar>
              <w:tblLook w:val="0000" w:firstRow="0" w:lastRow="0" w:firstColumn="0" w:lastColumn="0" w:noHBand="0" w:noVBand="0"/>
            </w:tblPr>
            <w:tblGrid>
              <w:gridCol w:w="4891"/>
              <w:gridCol w:w="1971"/>
              <w:gridCol w:w="1884"/>
            </w:tblGrid>
            <w:tr w:rsidR="00657CA4">
              <w:tc>
                <w:tcPr>
                  <w:tcW w:w="9654" w:type="dxa"/>
                  <w:gridSpan w:val="3"/>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CONCILIACION DE FLUJOS DE EFECTIVO NETOS</w:t>
                  </w:r>
                </w:p>
              </w:tc>
            </w:tr>
            <w:tr w:rsidR="00657CA4">
              <w:tc>
                <w:tcPr>
                  <w:tcW w:w="554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CONCEPTO</w:t>
                  </w:r>
                </w:p>
              </w:tc>
              <w:tc>
                <w:tcPr>
                  <w:tcW w:w="2126"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2023</w:t>
                  </w:r>
                </w:p>
              </w:tc>
              <w:tc>
                <w:tcPr>
                  <w:tcW w:w="1984"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2022</w:t>
                  </w:r>
                </w:p>
              </w:tc>
            </w:tr>
            <w:tr w:rsidR="00657CA4">
              <w:tc>
                <w:tcPr>
                  <w:tcW w:w="554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Resultado del Ejercicio Ahorro/Desahorro</w:t>
                  </w:r>
                </w:p>
              </w:tc>
              <w:tc>
                <w:tcPr>
                  <w:tcW w:w="2126"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       873,154,345 </w:t>
                  </w:r>
                </w:p>
              </w:tc>
              <w:tc>
                <w:tcPr>
                  <w:tcW w:w="1984"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     1,477,836,083 </w:t>
                  </w:r>
                </w:p>
              </w:tc>
            </w:tr>
            <w:tr w:rsidR="00657CA4">
              <w:tc>
                <w:tcPr>
                  <w:tcW w:w="554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Movimientos de partidas (o rubros) que no afectan al efectivo</w:t>
                  </w:r>
                </w:p>
              </w:tc>
              <w:tc>
                <w:tcPr>
                  <w:tcW w:w="2126"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                  - </w:t>
                  </w:r>
                </w:p>
              </w:tc>
              <w:tc>
                <w:tcPr>
                  <w:tcW w:w="1984"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224,469,689 </w:t>
                  </w:r>
                </w:p>
              </w:tc>
            </w:tr>
            <w:tr w:rsidR="00657CA4">
              <w:tc>
                <w:tcPr>
                  <w:tcW w:w="554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Depreciación</w:t>
                  </w:r>
                </w:p>
              </w:tc>
              <w:tc>
                <w:tcPr>
                  <w:tcW w:w="2126"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c>
                <w:tcPr>
                  <w:tcW w:w="1984"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r>
            <w:tr w:rsidR="00657CA4">
              <w:tc>
                <w:tcPr>
                  <w:tcW w:w="554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Amortización</w:t>
                  </w:r>
                </w:p>
              </w:tc>
              <w:tc>
                <w:tcPr>
                  <w:tcW w:w="2126"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c>
                <w:tcPr>
                  <w:tcW w:w="1984"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r>
            <w:tr w:rsidR="00657CA4">
              <w:tc>
                <w:tcPr>
                  <w:tcW w:w="554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Incrementos en las provisiones</w:t>
                  </w:r>
                </w:p>
              </w:tc>
              <w:tc>
                <w:tcPr>
                  <w:tcW w:w="2126"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c>
                <w:tcPr>
                  <w:tcW w:w="1984"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r>
            <w:tr w:rsidR="00657CA4">
              <w:tc>
                <w:tcPr>
                  <w:tcW w:w="554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Incremento en Inversiones producido por revaluación</w:t>
                  </w:r>
                </w:p>
              </w:tc>
              <w:tc>
                <w:tcPr>
                  <w:tcW w:w="2126"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c>
                <w:tcPr>
                  <w:tcW w:w="1984"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r>
            <w:tr w:rsidR="00657CA4">
              <w:tc>
                <w:tcPr>
                  <w:tcW w:w="554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Ganancia/pérdida en venta de bienes muebles, inmuebles e intangibles.</w:t>
                  </w:r>
                </w:p>
              </w:tc>
              <w:tc>
                <w:tcPr>
                  <w:tcW w:w="2126"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c>
                <w:tcPr>
                  <w:tcW w:w="1984"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r>
            <w:tr w:rsidR="00657CA4">
              <w:tc>
                <w:tcPr>
                  <w:tcW w:w="5544" w:type="dxa"/>
                  <w:tcBorders>
                    <w:top w:val="nil"/>
                    <w:left w:val="single" w:sz="6" w:space="0" w:color="auto"/>
                    <w:bottom w:val="single" w:sz="6" w:space="0" w:color="auto"/>
                    <w:right w:val="single" w:sz="6" w:space="0" w:color="auto"/>
                  </w:tcBorders>
                </w:tcPr>
                <w:p w:rsidR="00657CA4" w:rsidRPr="00045D7C" w:rsidRDefault="00657CA4">
                  <w:pPr>
                    <w:autoSpaceDE w:val="0"/>
                    <w:autoSpaceDN w:val="0"/>
                    <w:adjustRightInd w:val="0"/>
                    <w:spacing w:after="0"/>
                    <w:rPr>
                      <w:rFonts w:ascii="Arial" w:hAnsi="Arial" w:cs="Arial"/>
                      <w:color w:val="000000"/>
                      <w:sz w:val="20"/>
                      <w:szCs w:val="20"/>
                      <w:lang w:eastAsia="es-MX"/>
                    </w:rPr>
                  </w:pPr>
                  <w:r w:rsidRPr="00045D7C">
                    <w:rPr>
                      <w:rFonts w:ascii="Arial" w:hAnsi="Arial" w:cs="Arial"/>
                      <w:color w:val="000000"/>
                      <w:sz w:val="20"/>
                      <w:szCs w:val="20"/>
                      <w:lang w:eastAsia="es-MX"/>
                    </w:rPr>
                    <w:t>Incremento en cuentas por cobrar</w:t>
                  </w:r>
                </w:p>
              </w:tc>
              <w:tc>
                <w:tcPr>
                  <w:tcW w:w="2126" w:type="dxa"/>
                  <w:tcBorders>
                    <w:top w:val="nil"/>
                    <w:left w:val="nil"/>
                    <w:bottom w:val="single" w:sz="6" w:space="0" w:color="auto"/>
                    <w:right w:val="single" w:sz="6" w:space="0" w:color="auto"/>
                  </w:tcBorders>
                </w:tcPr>
                <w:p w:rsidR="00657CA4" w:rsidRPr="00045D7C" w:rsidRDefault="00657CA4">
                  <w:pPr>
                    <w:autoSpaceDE w:val="0"/>
                    <w:autoSpaceDN w:val="0"/>
                    <w:adjustRightInd w:val="0"/>
                    <w:spacing w:after="0"/>
                    <w:rPr>
                      <w:rFonts w:ascii="Arial" w:hAnsi="Arial" w:cs="Arial"/>
                      <w:color w:val="000000"/>
                      <w:sz w:val="20"/>
                      <w:szCs w:val="20"/>
                      <w:lang w:eastAsia="es-MX"/>
                    </w:rPr>
                  </w:pPr>
                  <w:r w:rsidRPr="00045D7C">
                    <w:rPr>
                      <w:rFonts w:ascii="Arial" w:hAnsi="Arial" w:cs="Arial"/>
                      <w:color w:val="000000"/>
                      <w:sz w:val="20"/>
                      <w:szCs w:val="20"/>
                      <w:lang w:eastAsia="es-MX"/>
                    </w:rPr>
                    <w:t xml:space="preserve"> $          - 108,398</w:t>
                  </w:r>
                </w:p>
              </w:tc>
              <w:tc>
                <w:tcPr>
                  <w:tcW w:w="1984"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224,469,689 </w:t>
                  </w:r>
                </w:p>
              </w:tc>
            </w:tr>
            <w:tr w:rsidR="00657CA4">
              <w:tc>
                <w:tcPr>
                  <w:tcW w:w="554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Flujos de Efectivo Netos de las Actividades de Operación</w:t>
                  </w:r>
                </w:p>
              </w:tc>
              <w:tc>
                <w:tcPr>
                  <w:tcW w:w="2126"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       873,045,947</w:t>
                  </w:r>
                </w:p>
              </w:tc>
              <w:tc>
                <w:tcPr>
                  <w:tcW w:w="1984"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     1,253,366,394 </w:t>
                  </w:r>
                </w:p>
              </w:tc>
            </w:tr>
          </w:tbl>
          <w:p w:rsidR="00657CA4" w:rsidRDefault="00657CA4" w:rsidP="00657CA4">
            <w:pPr>
              <w:tabs>
                <w:tab w:val="left" w:pos="2970"/>
              </w:tabs>
              <w:autoSpaceDE w:val="0"/>
              <w:autoSpaceDN w:val="0"/>
              <w:adjustRightInd w:val="0"/>
              <w:jc w:val="both"/>
              <w:rPr>
                <w:rFonts w:ascii="Arial" w:hAnsi="Arial" w:cs="Arial"/>
                <w:lang w:eastAsia="es-MX"/>
              </w:rPr>
            </w:pPr>
          </w:p>
          <w:p w:rsidR="007E5E91" w:rsidRDefault="007E5E91" w:rsidP="00657CA4">
            <w:pPr>
              <w:tabs>
                <w:tab w:val="left" w:pos="2970"/>
              </w:tabs>
              <w:autoSpaceDE w:val="0"/>
              <w:autoSpaceDN w:val="0"/>
              <w:adjustRightInd w:val="0"/>
              <w:jc w:val="both"/>
              <w:rPr>
                <w:rFonts w:ascii="Arial" w:hAnsi="Arial" w:cs="Arial"/>
                <w:lang w:eastAsia="es-MX"/>
              </w:rPr>
            </w:pPr>
            <w:bookmarkStart w:id="3" w:name="_GoBack"/>
            <w:bookmarkEnd w:id="3"/>
          </w:p>
          <w:p w:rsidR="00657CA4" w:rsidRDefault="00657CA4" w:rsidP="00657CA4">
            <w:pPr>
              <w:tabs>
                <w:tab w:val="left" w:pos="2970"/>
              </w:tabs>
              <w:autoSpaceDE w:val="0"/>
              <w:autoSpaceDN w:val="0"/>
              <w:adjustRightInd w:val="0"/>
              <w:ind w:left="1146" w:hanging="720"/>
              <w:jc w:val="both"/>
              <w:rPr>
                <w:rFonts w:ascii="Arial" w:hAnsi="Arial" w:cs="Arial"/>
                <w:b/>
                <w:bCs/>
                <w:lang w:eastAsia="es-MX"/>
              </w:rPr>
            </w:pPr>
            <w:r>
              <w:rPr>
                <w:rFonts w:ascii="Arial" w:hAnsi="Arial" w:cs="Arial"/>
                <w:b/>
                <w:bCs/>
                <w:lang w:eastAsia="es-MX"/>
              </w:rPr>
              <w:lastRenderedPageBreak/>
              <w:t>IV)</w:t>
            </w:r>
            <w:r>
              <w:rPr>
                <w:rFonts w:ascii="Arial" w:hAnsi="Arial" w:cs="Arial"/>
                <w:b/>
                <w:bCs/>
                <w:lang w:eastAsia="es-MX"/>
              </w:rPr>
              <w:tab/>
              <w:t>CONCILIACION ENTRE LOS INGRESOS PRESUPUESTARIOS Y CONTABLES, ASI COMO ENTRE LOS EGRESOS PRESUPUESTARIOS Y LOS GASTOS CONTABLES</w:t>
            </w:r>
          </w:p>
          <w:p w:rsidR="00657CA4" w:rsidRDefault="00657CA4" w:rsidP="00657CA4">
            <w:pPr>
              <w:tabs>
                <w:tab w:val="left" w:pos="2970"/>
              </w:tabs>
              <w:autoSpaceDE w:val="0"/>
              <w:autoSpaceDN w:val="0"/>
              <w:adjustRightInd w:val="0"/>
              <w:jc w:val="both"/>
              <w:rPr>
                <w:rFonts w:ascii="Arial" w:hAnsi="Arial" w:cs="Arial"/>
                <w:b/>
                <w:bCs/>
                <w:lang w:eastAsia="es-MX"/>
              </w:rPr>
            </w:pPr>
          </w:p>
          <w:p w:rsidR="00657CA4" w:rsidRDefault="00657CA4" w:rsidP="00657CA4">
            <w:pPr>
              <w:tabs>
                <w:tab w:val="left" w:pos="2970"/>
              </w:tabs>
              <w:autoSpaceDE w:val="0"/>
              <w:autoSpaceDN w:val="0"/>
              <w:adjustRightInd w:val="0"/>
              <w:jc w:val="both"/>
              <w:rPr>
                <w:rFonts w:ascii="Arial" w:hAnsi="Arial" w:cs="Arial"/>
                <w:lang w:eastAsia="es-MX"/>
              </w:rPr>
            </w:pPr>
            <w:r>
              <w:rPr>
                <w:rFonts w:ascii="Arial" w:hAnsi="Arial" w:cs="Arial"/>
                <w:lang w:eastAsia="es-MX"/>
              </w:rPr>
              <w:t xml:space="preserve">La conciliación se presentará atendiendo a lo dispuesto por el </w:t>
            </w:r>
            <w:r>
              <w:rPr>
                <w:rFonts w:ascii="Arial" w:hAnsi="Arial" w:cs="Arial"/>
                <w:b/>
                <w:bCs/>
                <w:lang w:eastAsia="es-MX"/>
              </w:rPr>
              <w:t xml:space="preserve">“Acuerdo por el que se emite el formato entre los ingresos presupuestarios y contables, así como entre los egresos presupuestarios y los gastos contables” </w:t>
            </w:r>
            <w:r>
              <w:rPr>
                <w:rFonts w:ascii="Arial" w:hAnsi="Arial" w:cs="Arial"/>
                <w:lang w:eastAsia="es-MX"/>
              </w:rPr>
              <w:t xml:space="preserve">y sus modificaciones. </w:t>
            </w:r>
          </w:p>
          <w:p w:rsidR="00657CA4" w:rsidRDefault="00657CA4" w:rsidP="00657CA4">
            <w:pPr>
              <w:autoSpaceDE w:val="0"/>
              <w:autoSpaceDN w:val="0"/>
              <w:adjustRightInd w:val="0"/>
              <w:jc w:val="both"/>
              <w:rPr>
                <w:rFonts w:ascii="Arial" w:hAnsi="Arial" w:cs="Arial"/>
                <w:lang w:eastAsia="es-MX"/>
              </w:rPr>
            </w:pP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“Bajo protesta de decir verdad declaramos que los Estados Financieros y sus notas, son razonablemente correctos y son responsabilidad del emisor”</w:t>
            </w:r>
          </w:p>
          <w:p w:rsidR="00A45E83" w:rsidRPr="007326BD" w:rsidRDefault="00A45E83" w:rsidP="00A45E83">
            <w:pPr>
              <w:spacing w:after="0" w:line="240" w:lineRule="auto"/>
              <w:jc w:val="both"/>
              <w:rPr>
                <w:rFonts w:ascii="Arial" w:hAnsi="Arial" w:cs="Arial"/>
                <w:sz w:val="24"/>
                <w:szCs w:val="24"/>
              </w:rPr>
            </w:pPr>
          </w:p>
        </w:tc>
      </w:tr>
    </w:tbl>
    <w:p w:rsidR="00536F66" w:rsidRDefault="00536F66" w:rsidP="00B157EC">
      <w:pPr>
        <w:rPr>
          <w:rFonts w:ascii="Arial" w:hAnsi="Arial" w:cs="Arial"/>
          <w:sz w:val="20"/>
        </w:rPr>
      </w:pPr>
    </w:p>
    <w:p w:rsidR="00045D7C" w:rsidRDefault="00045D7C" w:rsidP="00B157EC">
      <w:pPr>
        <w:rPr>
          <w:rFonts w:ascii="Arial" w:hAnsi="Arial" w:cs="Arial"/>
          <w:sz w:val="20"/>
        </w:rPr>
      </w:pPr>
    </w:p>
    <w:p w:rsidR="00045D7C" w:rsidRDefault="00045D7C" w:rsidP="00B157EC">
      <w:pPr>
        <w:rPr>
          <w:rFonts w:ascii="Arial" w:hAnsi="Arial" w:cs="Arial"/>
          <w:sz w:val="20"/>
        </w:rPr>
      </w:pPr>
    </w:p>
    <w:p w:rsidR="00045D7C" w:rsidRDefault="00045D7C" w:rsidP="00045D7C">
      <w:pPr>
        <w:jc w:val="both"/>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5E3FD131" wp14:editId="51493A5D">
                <wp:simplePos x="0" y="0"/>
                <wp:positionH relativeFrom="column">
                  <wp:posOffset>1472564</wp:posOffset>
                </wp:positionH>
                <wp:positionV relativeFrom="paragraph">
                  <wp:posOffset>294640</wp:posOffset>
                </wp:positionV>
                <wp:extent cx="2562225" cy="9525"/>
                <wp:effectExtent l="0" t="0" r="28575" b="28575"/>
                <wp:wrapNone/>
                <wp:docPr id="2" name="2 Conector recto"/>
                <wp:cNvGraphicFramePr/>
                <a:graphic xmlns:a="http://schemas.openxmlformats.org/drawingml/2006/main">
                  <a:graphicData uri="http://schemas.microsoft.com/office/word/2010/wordprocessingShape">
                    <wps:wsp>
                      <wps:cNvCnPr/>
                      <wps:spPr>
                        <a:xfrm>
                          <a:off x="0" y="0"/>
                          <a:ext cx="2562225" cy="95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95pt,23.2pt" to="317.7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" strokecolor="black [3213]" strokeweight="1.25pt">
                <v:stroke joinstyle="miter"/>
              </v:line>
            </w:pict>
          </mc:Fallback>
        </mc:AlternateContent>
      </w:r>
    </w:p>
    <w:p w:rsidR="00045D7C" w:rsidRPr="00345471" w:rsidRDefault="00045D7C" w:rsidP="00045D7C">
      <w:pPr>
        <w:jc w:val="center"/>
        <w:rPr>
          <w:rFonts w:ascii="Arial" w:hAnsi="Arial" w:cs="Arial"/>
          <w:b/>
        </w:rPr>
      </w:pPr>
      <w:r w:rsidRPr="00345471">
        <w:rPr>
          <w:rFonts w:ascii="Arial" w:hAnsi="Arial" w:cs="Arial"/>
          <w:b/>
        </w:rPr>
        <w:t>MTRO. LUIS GARCIA SOTELO</w:t>
      </w:r>
    </w:p>
    <w:p w:rsidR="00045D7C" w:rsidRPr="00345471" w:rsidRDefault="00045D7C" w:rsidP="00045D7C">
      <w:pPr>
        <w:jc w:val="center"/>
        <w:rPr>
          <w:rFonts w:ascii="Arial" w:hAnsi="Arial" w:cs="Arial"/>
          <w:b/>
        </w:rPr>
      </w:pPr>
      <w:r w:rsidRPr="00345471">
        <w:rPr>
          <w:rFonts w:ascii="Arial" w:hAnsi="Arial" w:cs="Arial"/>
          <w:b/>
        </w:rPr>
        <w:t>TESORERO MUNICIPAL</w:t>
      </w:r>
    </w:p>
    <w:p w:rsidR="00045D7C" w:rsidRDefault="00045D7C" w:rsidP="00B157EC">
      <w:pPr>
        <w:rPr>
          <w:rFonts w:ascii="Arial" w:hAnsi="Arial" w:cs="Arial"/>
          <w:sz w:val="20"/>
        </w:rPr>
      </w:pPr>
    </w:p>
    <w:p w:rsidR="00B157EC" w:rsidRPr="00045D7C" w:rsidRDefault="00B157EC">
      <w:pPr>
        <w:rPr>
          <w:rFonts w:ascii="Arial" w:hAnsi="Arial" w:cs="Arial"/>
          <w:sz w:val="24"/>
          <w:szCs w:val="24"/>
        </w:rPr>
      </w:pPr>
      <w:bookmarkStart w:id="4" w:name="codigo"/>
      <w:bookmarkEnd w:id="4"/>
      <w:r w:rsidRPr="00B157EC">
        <w:rPr>
          <w:rFonts w:ascii="Arial" w:hAnsi="Arial" w:cs="Arial"/>
          <w:sz w:val="24"/>
          <w:szCs w:val="24"/>
        </w:rPr>
        <w:t>Bajo protesta de decir verdad declaramos que los Estados Financieros y sus Notas son razonablemente correctos y responsabilidad del emisor.</w:t>
      </w:r>
    </w:p>
    <w:sectPr w:rsidR="00B157EC" w:rsidRPr="00045D7C"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68AE"/>
    <w:multiLevelType w:val="hybridMultilevel"/>
    <w:tmpl w:val="42725AF6"/>
    <w:lvl w:ilvl="0" w:tplc="C522343C">
      <w:numFmt w:val="bullet"/>
      <w:lvlText w:val="-"/>
      <w:lvlJc w:val="left"/>
      <w:pPr>
        <w:ind w:left="405" w:hanging="360"/>
      </w:pPr>
      <w:rPr>
        <w:rFonts w:ascii="Arial" w:eastAsia="Calibri" w:hAnsi="Aria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83"/>
    <w:rsid w:val="00045D7C"/>
    <w:rsid w:val="00054D51"/>
    <w:rsid w:val="001213FD"/>
    <w:rsid w:val="00150A8F"/>
    <w:rsid w:val="001F0913"/>
    <w:rsid w:val="001F5C2A"/>
    <w:rsid w:val="002403D3"/>
    <w:rsid w:val="002E6C50"/>
    <w:rsid w:val="00301134"/>
    <w:rsid w:val="003F7AB9"/>
    <w:rsid w:val="0040191D"/>
    <w:rsid w:val="004073AF"/>
    <w:rsid w:val="00425DF0"/>
    <w:rsid w:val="005056F4"/>
    <w:rsid w:val="00523D61"/>
    <w:rsid w:val="00536F66"/>
    <w:rsid w:val="005B33F8"/>
    <w:rsid w:val="00657CA4"/>
    <w:rsid w:val="00721735"/>
    <w:rsid w:val="007326BD"/>
    <w:rsid w:val="007E4F17"/>
    <w:rsid w:val="007E5E91"/>
    <w:rsid w:val="00806603"/>
    <w:rsid w:val="00A45E83"/>
    <w:rsid w:val="00B157EC"/>
    <w:rsid w:val="00B35761"/>
    <w:rsid w:val="00BA7910"/>
    <w:rsid w:val="00CD584F"/>
    <w:rsid w:val="00D2796E"/>
    <w:rsid w:val="00D64D9B"/>
    <w:rsid w:val="00EB7BF7"/>
    <w:rsid w:val="00F13D94"/>
    <w:rsid w:val="00FA2397"/>
    <w:rsid w:val="00FC59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57C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7CA4"/>
    <w:rPr>
      <w:rFonts w:ascii="Tahoma" w:hAnsi="Tahoma" w:cs="Tahoma"/>
      <w:sz w:val="16"/>
      <w:szCs w:val="16"/>
      <w:lang w:eastAsia="en-US"/>
    </w:rPr>
  </w:style>
  <w:style w:type="paragraph" w:styleId="Prrafodelista">
    <w:name w:val="List Paragraph"/>
    <w:basedOn w:val="Normal"/>
    <w:uiPriority w:val="34"/>
    <w:qFormat/>
    <w:rsid w:val="00045D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57C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7CA4"/>
    <w:rPr>
      <w:rFonts w:ascii="Tahoma" w:hAnsi="Tahoma" w:cs="Tahoma"/>
      <w:sz w:val="16"/>
      <w:szCs w:val="16"/>
      <w:lang w:eastAsia="en-US"/>
    </w:rPr>
  </w:style>
  <w:style w:type="paragraph" w:styleId="Prrafodelista">
    <w:name w:val="List Paragraph"/>
    <w:basedOn w:val="Normal"/>
    <w:uiPriority w:val="34"/>
    <w:qFormat/>
    <w:rsid w:val="00045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2231</Words>
  <Characters>12276</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Ortega Merida Irvin Oswaldo</cp:lastModifiedBy>
  <cp:revision>9</cp:revision>
  <cp:lastPrinted>2024-03-04T17:59:00Z</cp:lastPrinted>
  <dcterms:created xsi:type="dcterms:W3CDTF">2020-05-27T16:02:00Z</dcterms:created>
  <dcterms:modified xsi:type="dcterms:W3CDTF">2024-03-04T18:01:00Z</dcterms:modified>
</cp:coreProperties>
</file>