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2152"/>
        <w:gridCol w:w="168"/>
        <w:gridCol w:w="3940"/>
      </w:tblGrid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GUADALAJARA</w:t>
            </w: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NOTAS A LOS ESTADOS FINANCIEROS </w:t>
            </w: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 31 de Diciembre de 2021</w:t>
            </w: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Cifras en pesos mexicanos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NOTAS DE DESGLOSE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I) Notas al Estado de Situación Financiera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virtud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 las Disposiciones de la Ley General de Contabilidad Gubernamental se presentan las notas de desglose a los Estados Financieros se presentan las cifras al 31 de Diciembre 2021: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A0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5241E0" w:rsidTr="005241E0">
        <w:trPr>
          <w:trHeight w:val="1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 y Equivalentes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Su importe se analiza a continuación: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10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461,379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Bancos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4,942,387 </w:t>
            </w: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Temporales (Hasta 3 meses)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266,783,380 </w:t>
            </w: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Fondos con Afectación Específica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138,009 </w:t>
            </w: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Depósitos de Fondos de terceros en Garantía y/o ad.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15,245,660 </w:t>
            </w: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efectivos y equivalentes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53,800 </w:t>
            </w: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Efectivo y equivalentes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287,624,614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corto plazo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Comprende lo siguiente: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Cuentas Por Cobrar a Corto Plazo  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4,091,141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Cheques devueltos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175,783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-$                                                   5,738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Programa apoyo a Comerciantes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1,679,600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CXC por transferencias erróneas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317,994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CXC A SEPAF por Participaciones                                                                                            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1,638,537 </w:t>
            </w:r>
          </w:p>
        </w:tc>
      </w:tr>
      <w:tr w:rsidR="005241E0" w:rsidRPr="005241E0" w:rsidTr="005241E0">
        <w:trPr>
          <w:trHeight w:val="25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- Recaudación por terceros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256,277 </w:t>
            </w:r>
          </w:p>
        </w:tc>
      </w:tr>
      <w:tr w:rsidR="005241E0" w:rsidRPr="005241E0" w:rsidTr="005241E0">
        <w:trPr>
          <w:trHeight w:val="25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contratos o convenio                                                                         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34,137 </w:t>
            </w:r>
          </w:p>
        </w:tc>
      </w:tr>
      <w:tr w:rsidR="005241E0" w:rsidRPr="005241E0" w:rsidTr="005241E0">
        <w:trPr>
          <w:trHeight w:val="25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CXC por Recursos Monetarios Federales Robados Ex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5241E0" w:rsidRPr="005241E0" w:rsidTr="005241E0">
        <w:trPr>
          <w:trHeight w:val="25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CXC a Instituciones Bancarias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-$                                                   5,450 </w:t>
            </w:r>
          </w:p>
        </w:tc>
      </w:tr>
      <w:tr w:rsidR="005241E0" w:rsidRPr="005241E0" w:rsidTr="005241E0">
        <w:trPr>
          <w:trHeight w:val="8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Deudores Diversos Por Cobrar a Corto Plazo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7,745,988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Contratistas Mercado Corona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COMUDE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Desarrollo Integral de la Familia                                      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2,895,265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Otros Deudores Diversos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4,850,723 </w:t>
            </w: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Ingresos por recuperar a Corto plazo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5,486,743 </w:t>
            </w: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Deudores por anticipos de tesorería a corto plazo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   198,539 </w:t>
            </w:r>
          </w:p>
        </w:tc>
      </w:tr>
      <w:tr w:rsidR="005241E0" w:rsidRPr="005241E0" w:rsidTr="005241E0">
        <w:trPr>
          <w:trHeight w:val="19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de derechos a recibir efectivo o equivalentes </w:t>
            </w: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circulante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 $                                        305,147,025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Activo no Circulante comprende lo siguiente: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Financieras a largo plazo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saldo al 31 de Diciembre de 2021, principalmente, comprende las aportaciones realizadas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ejercicios anteriores, a los fideicomisos que se mencionan a continuación, así como las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operaciones realizadas de conformidad con su objeto: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Fideicomiso Fondo Guadalajara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8,000,000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Fideicomiso Expo-Guadalajara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142,155,866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Fideicomiso 1555 invex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13,575,864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Fideicomiso 437-2 Banco Multiva SA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82,341,036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Fideicomiso Bancomer 403248-8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216,195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Fideicomiso Fondo Guadalajara(Programa cuidemos tu empleo)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8,859,408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255,148,369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Inmuebles, Infraestructura y Construcciones en Proceso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importe de estos bienes al 31 de Diciembre de 2021, se desglosa a continuación: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Terrenos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389,839,743 </w:t>
            </w: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Edificios no habitacionales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1,297,424,423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Oficinas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1,120,332,788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Mercados Municipales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177,091,635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Infraestructura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3,940,485,680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92,004,081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1,539,872,537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Construcción de Vías de Comunicación en Proceso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1,117,191,885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Construcciones de Ingeniería Civil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404,850,276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Equipamiento en Construcciones en Procesos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14,268,090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Trabajo en Edificaciones y Otros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12,266,490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Edificaciones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505,605,963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222,709,139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Estudios Formulación y Evaluación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31,617,419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Otros activos Diferidos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99,800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Construcciones en proceso de bienes de dominio público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1,923,365,202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Edificación Habitacional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10,408,076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1,048,903,803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Construcción de Obras para el Abastecimiento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94,929,713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179,648,350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Construcción de Vías de Comunicación en Proceso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505,824,676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Otras Construcciones de Ingeniería Civil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49,481,382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Trabajos de Acabados en Edificaciones y Otros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34,169,204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237,883,050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Su saldo se integra como sigue: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85,202,579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Muebles, Excepto de Oficina y Estantería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4,294,203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TI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296,319,604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39,556,871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Mobiliario y equipo educacional y recreativo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101,027,385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e instrumental médico y de laboratorio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73,195,744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de transporte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714,157,773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Equipo de defensa y seguridad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95,804,700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Colecciones, obras de arte y objetos valiosos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29,273,238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Activos biológicos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1,233,136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Maquinaria, otros equipos y herramienta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415,802,910 </w:t>
            </w: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bienes muebles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1,855,868,143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Estimaciones y Deterioros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No se tiene identificadas causas de deterioro que afecten el valor de los activos </w:t>
            </w:r>
          </w:p>
        </w:tc>
      </w:tr>
      <w:tr w:rsidR="005241E0" w:rsidRPr="005241E0" w:rsidTr="005241E0">
        <w:trPr>
          <w:trHeight w:val="285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reconocidos contablemente, que son propiedad del Municipio.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Activos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Su importe se refiere, principalmente, a cierto software adquirido por el Municipio y a los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derechos pagados por el registro de la patente de la mascota oficial de los Juegos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Panamericanos 2011.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Software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66,689,576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Concesiones y Franquicias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49,109,476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Licencias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5,121,822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Patentes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15,256,513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Otros activos intangibles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7,563,740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143,741,128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y documentos por pagar a corto plazo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Las cuentas y documentos por pagar a corto plazo, al 31 de Diciembre de 2021 se integran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como sigue: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Servicios personales por pagar a corto plazo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5,564,437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Proveedores por pagar a corto plazo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121,760,946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Contratistas por obras públicas por pagar a corto plazo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102,630,311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Transferencias otorgadas por pagar a Corto Plazo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69,531,771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Intereses y comisiones y otros gastos de la deuda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Retenciones y contribuciones por pagar a corto plazo 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94,047,527 </w:t>
            </w:r>
          </w:p>
        </w:tc>
      </w:tr>
      <w:tr w:rsidR="005241E0" w:rsidRPr="005241E0" w:rsidTr="005241E0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Devolución de la Ley de ingresos por pagar a CP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242,939 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Otras cuentas por pagar a corto plazo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10,706,343 </w:t>
            </w:r>
          </w:p>
        </w:tc>
      </w:tr>
      <w:tr w:rsidR="005241E0" w:rsidRPr="005241E0" w:rsidTr="005241E0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cuentas y documentos por pagar a corto plazo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404,484,275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tiene detectadas ciertas situaciones que derivaron en el registro contable de pasivos </w:t>
            </w:r>
          </w:p>
        </w:tc>
      </w:tr>
      <w:tr w:rsidR="005241E0" w:rsidRPr="005241E0" w:rsidTr="005241E0">
        <w:trPr>
          <w:trHeight w:val="285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que a la fecha no son exigibles y que no han sido cuantificados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Deuda pública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Se conforma como a continuación se señala: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Corto plazo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Largo plazo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Total </w:t>
            </w:r>
          </w:p>
        </w:tc>
      </w:tr>
      <w:tr w:rsidR="005241E0" w:rsidRPr="005241E0" w:rsidTr="005241E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largo plazo: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BBVA Bancomer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0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A03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846,301,284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A03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846,301,284.11 </w:t>
            </w:r>
          </w:p>
        </w:tc>
      </w:tr>
      <w:tr w:rsidR="005241E0" w:rsidRPr="005241E0" w:rsidTr="005241E0">
        <w:trPr>
          <w:trHeight w:val="5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Banco Mercantil del Norte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0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A03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555,092,695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A03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555,092,694.60 </w:t>
            </w:r>
          </w:p>
        </w:tc>
      </w:tr>
      <w:tr w:rsidR="005241E0" w:rsidRPr="005241E0" w:rsidTr="005241E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0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A03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1,401,393,979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E0" w:rsidRPr="005241E0" w:rsidRDefault="005241E0" w:rsidP="00A03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1,401,393,978.71 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A  partir  de  septiembre  de 2017, fue  pactado  con  BBVA Bancomer,  la reducción  de la tasa de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interés  para  quedar  en  TIIE+1.09   puntos  porcentuales,  así   como el  compromiso  que  recae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20%. Para garantizar el pago oportuno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 la  deuda , se constituyó un fideicomiso irrevocable de administración y medio de pago, a través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 cual  se  liquidan  las  obligaciones   del  Municipio y en  el  que  el  banco  mencionado  es  el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fideicomisario en primer lugar. Este crédito vencerá el 31 de marzo de 2028.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A  partir  de  septiembre  de 2017, fue pactado con el Banco Mercantil del Norte, la reducción de la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tasa de interés para quedar en TIIE+0.90 puntos porcentuales, así como el compromiso que recae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16%. Para garantizar el pago oportuno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la  deuda,se constituyó un fideicomiso irrevocable de administración y medio de pago, a través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del  cual  se  liquidan  las  obligaciones  del  Municipio  y  en  el que  el  banco   mencionado  es  el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fideicomisario en primer lugar. Este crédito vencerá el 11 de enero de 2031.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Cabe  mencionar  que  el  registro  de  este crédito se efectuó  de  conformidad con lo establecido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en  la  Ley  de Disciplina Financiera de las Entidades Federativas y sus Municipios, así como a los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Criterios  para  la  elaboración  y  presentación  homogénea de la información  financiera  y de los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formatos a que hace referencia la Ley de Disciplina Financiera de las Entidades Federativas y los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Municipios, Formato 2 Informe Analítico de la Deuda Pública y Otros Pasivos, numerales c) y k)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II) Notas al Estado de Actividades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El  desglose  de  las  cuentas  de  resultados  es  a  tercer  nivel, se  proporciona  en  el  propio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Estado de Actividades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Intereses, comisiones y otros gastos de la Deuda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intereses pagados en el ejercicio por concepto de intereses de la deuda ascienden a 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$82,769,928</w:t>
            </w:r>
          </w:p>
          <w:p w:rsid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Ingresos excedentes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Son</w:t>
            </w: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los recursos que durante  el ejercicio fiscal se obtienen en exceso de los aprobados en la  Ley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Ingresos  y, de conformidad con la  Ley de  Disciplina  Financiera, los derivados de ingresos de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libre disposición,se deberán destinar,al menos en un 50 por ciento, para la amortización anticipada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 la Deuda  Pública , el  pago  de  adeudos de ejercicios fiscales anteriores,pasivos circulantes y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 obligaciones ,  en  cuyos  contratos   se  haya   pactado  el  pago anticipado  sin   incurrir  en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 xml:space="preserve">penalidades  y  representen  una  disminución  del  saldo registrado  en la cuenta pública del cierre 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del ejercicio inmediato anterior, así como el pago de sentencias definitivas emitidas por la autoridad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competente, la  aportación  a  fondos  para  la  atención  de  desastres  naturales  y  de  pensiones.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Dichos excedentes podrán destinarse a reducir el balance presupuestario de recursos disponibles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negativo  de  ejercicios  anteriores,  a  partir  de  la entrada  en vigor de esta Ley y hasta el ejercicio</w:t>
            </w: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fiscal 2022.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En caso de subsistir remanente, se aplicará a: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a) </w:t>
            </w: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Inversión pública productiva, a través de un fondo que se constituya para tal efecto, con el fin de</w:t>
            </w: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que  los  recursos  correspondientes se ejerzan a más tardar en el ejercicio inmediato siguiente, y</w:t>
            </w:r>
          </w:p>
        </w:tc>
      </w:tr>
      <w:tr w:rsidR="005241E0" w:rsidRPr="005241E0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b) </w:t>
            </w: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La creación de un fondo cuyo objetivo sea compensar la caída de Ingresos de libre disposición</w:t>
            </w:r>
          </w:p>
        </w:tc>
      </w:tr>
      <w:tr w:rsidR="005241E0" w:rsidRPr="005241E0" w:rsidTr="005241E0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de ejercicios subsecuentes.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241E0" w:rsidRPr="005241E0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5241E0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241E0">
              <w:rPr>
                <w:rFonts w:ascii="Arial" w:eastAsia="Times New Roman" w:hAnsi="Arial" w:cs="Arial"/>
                <w:color w:val="000000"/>
                <w:lang w:eastAsia="es-MX"/>
              </w:rPr>
              <w:t>Los Ingresos excedentes derivados de Ingresos de libre disposición podrán destinarse a los rubros</w:t>
            </w: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 xml:space="preserve">mencionados  en  el  presente artículo, sin  limitación  alguna, siempre y cuando el ente público se </w:t>
            </w: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gramStart"/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>clasifique</w:t>
            </w:r>
            <w:proofErr w:type="gramEnd"/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un nivel de endeudamiento sostenible de acuerdo al Sistema de Alertas.</w:t>
            </w: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31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III) Notas al Estado de Variación en la Hacienda Pública.</w:t>
            </w: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>El desglose de las cuentas se informa de manera agrupada acerca de las modificaciones al</w:t>
            </w: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>patrimonio contribuido  y los recursos que modifican al patrimonio generado se proporcionan</w:t>
            </w: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>en el estado de Variación en la Hacienda Pública al 31 de Diciembre 202</w:t>
            </w:r>
            <w:r w:rsidR="0086721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31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IV) Notas al Estado de Flujos de Efectivo</w:t>
            </w: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Efectivo y Equivalente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análisis de los Saldos inicial y final que figuran en la última parte del Estado de Flujo de Efectivo </w:t>
            </w: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>en la cuenta de efectivo y equivalentes como sigue:</w:t>
            </w: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A03E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2021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A03E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03E53" w:rsidRPr="00A03E53" w:rsidTr="005241E0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53" w:rsidRDefault="00A03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Efectivo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461,378.78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493,864.83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03E53" w:rsidRPr="00A03E53" w:rsidTr="005241E0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53" w:rsidRDefault="00A03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Bancos/Tesorería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4,942,387.08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484,583,733.87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03E53" w:rsidRPr="00A03E53" w:rsidTr="005241E0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53" w:rsidRDefault="00A03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Inversiones temporales (hasta 3 meses)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266,783,379.63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1,528,709.66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03E53" w:rsidRPr="00A03E53" w:rsidTr="005241E0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53" w:rsidRDefault="00A03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Fondos con afectación especifica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138,008.59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137,903.83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03E53" w:rsidRPr="00A03E53" w:rsidTr="005241E0">
        <w:trPr>
          <w:trHeight w:val="7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53" w:rsidRDefault="00A03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Depósitos de Fondos de Terceros en Garantía y/o Administración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15,245,659.00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16,491,710.38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03E53" w:rsidRPr="00A03E53" w:rsidTr="005241E0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53" w:rsidRDefault="00A03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Otros Efectivos Y equivalentes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53,799.93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1,087,581.07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03E53" w:rsidRPr="00A03E53" w:rsidTr="005241E0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A03E5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Total de Efectivo y equivalentes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287,624,613.01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53" w:rsidRDefault="00A03E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504,323,503.64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53" w:rsidRPr="00A03E53" w:rsidRDefault="00A03E53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Bajo protesta de decir verdad declaramos que los Estados Financieros y sus Notas son </w:t>
            </w:r>
          </w:p>
        </w:tc>
      </w:tr>
      <w:tr w:rsidR="005241E0" w:rsidRPr="00A03E53" w:rsidTr="005241E0">
        <w:trPr>
          <w:trHeight w:val="28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E0" w:rsidRPr="00A03E53" w:rsidRDefault="005241E0" w:rsidP="00524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03E53">
              <w:rPr>
                <w:rFonts w:ascii="Arial" w:eastAsia="Times New Roman" w:hAnsi="Arial" w:cs="Arial"/>
                <w:color w:val="000000"/>
                <w:lang w:eastAsia="es-MX"/>
              </w:rPr>
              <w:t>razonablemente correctos y responsabilidad del emisor</w:t>
            </w:r>
          </w:p>
        </w:tc>
      </w:tr>
    </w:tbl>
    <w:p w:rsidR="00E87656" w:rsidRPr="00A03E53" w:rsidRDefault="00E87656">
      <w:pPr>
        <w:rPr>
          <w:rFonts w:ascii="Arial" w:hAnsi="Arial" w:cs="Arial"/>
        </w:rPr>
      </w:pPr>
    </w:p>
    <w:sectPr w:rsidR="00E87656" w:rsidRPr="00A03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0"/>
    <w:rsid w:val="0022439C"/>
    <w:rsid w:val="0026540D"/>
    <w:rsid w:val="002C1A14"/>
    <w:rsid w:val="005241E0"/>
    <w:rsid w:val="0086721E"/>
    <w:rsid w:val="00A03E53"/>
    <w:rsid w:val="00CA24AF"/>
    <w:rsid w:val="00D951DC"/>
    <w:rsid w:val="00E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 Moreno Sandra Carolina</dc:creator>
  <cp:lastModifiedBy>Soltero Carrillo Dora Guadalupe</cp:lastModifiedBy>
  <cp:revision>2</cp:revision>
  <cp:lastPrinted>2022-03-07T18:06:00Z</cp:lastPrinted>
  <dcterms:created xsi:type="dcterms:W3CDTF">2023-11-14T21:44:00Z</dcterms:created>
  <dcterms:modified xsi:type="dcterms:W3CDTF">2023-11-14T21:44:00Z</dcterms:modified>
</cp:coreProperties>
</file>