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rsidTr="00A45E83">
        <w:tc>
          <w:tcPr>
            <w:tcW w:w="8978" w:type="dxa"/>
          </w:tcPr>
          <w:p w:rsidR="009F5BF2" w:rsidRDefault="00B13E3D" w:rsidP="00245F49">
            <w:pPr>
              <w:spacing w:after="0" w:line="240" w:lineRule="auto"/>
              <w:jc w:val="center"/>
              <w:rPr>
                <w:rFonts w:ascii="Arial" w:hAnsi="Arial" w:cs="Arial"/>
                <w:b/>
                <w:sz w:val="24"/>
                <w:szCs w:val="28"/>
              </w:rPr>
            </w:pPr>
            <w:bookmarkStart w:id="0" w:name="ente"/>
            <w:bookmarkEnd w:id="0"/>
            <w:r>
              <w:rPr>
                <w:rFonts w:ascii="Arial" w:hAnsi="Arial" w:cs="Arial"/>
                <w:b/>
                <w:sz w:val="24"/>
                <w:szCs w:val="28"/>
              </w:rPr>
              <w:t>Municipio Guadalajara</w:t>
            </w:r>
          </w:p>
          <w:p w:rsidR="00245F49" w:rsidRPr="004A7026" w:rsidRDefault="00245F49" w:rsidP="00245F49">
            <w:pPr>
              <w:spacing w:after="0" w:line="240" w:lineRule="auto"/>
              <w:jc w:val="center"/>
              <w:rPr>
                <w:rFonts w:ascii="Arial" w:hAnsi="Arial" w:cs="Arial"/>
                <w:b/>
                <w:sz w:val="24"/>
                <w:szCs w:val="28"/>
              </w:rPr>
            </w:pPr>
            <w:r w:rsidRPr="004A7026">
              <w:rPr>
                <w:rFonts w:ascii="Arial" w:hAnsi="Arial" w:cs="Arial"/>
                <w:b/>
                <w:sz w:val="24"/>
                <w:szCs w:val="28"/>
              </w:rPr>
              <w:t>NOTAS A LOS ESTADOS FINANCIEROS</w:t>
            </w:r>
          </w:p>
          <w:p w:rsidR="00A45E83" w:rsidRPr="006628DA" w:rsidRDefault="00245F49" w:rsidP="006628DA">
            <w:pPr>
              <w:spacing w:after="0" w:line="240" w:lineRule="auto"/>
              <w:jc w:val="center"/>
              <w:rPr>
                <w:rFonts w:ascii="Arial" w:hAnsi="Arial" w:cs="Arial"/>
                <w:b/>
                <w:sz w:val="24"/>
                <w:szCs w:val="28"/>
              </w:rPr>
            </w:pPr>
            <w:r w:rsidRPr="004A7026">
              <w:rPr>
                <w:rFonts w:ascii="Arial" w:hAnsi="Arial" w:cs="Arial"/>
                <w:b/>
                <w:sz w:val="24"/>
                <w:szCs w:val="28"/>
              </w:rPr>
              <w:t xml:space="preserve"> DE GESTIÓN ADMINISTRATIVA</w:t>
            </w:r>
          </w:p>
          <w:p w:rsidR="00A45E83" w:rsidRPr="00EF11D0" w:rsidRDefault="00B13E3D" w:rsidP="00A45E83">
            <w:pPr>
              <w:spacing w:after="0" w:line="240" w:lineRule="auto"/>
              <w:jc w:val="center"/>
              <w:rPr>
                <w:rFonts w:ascii="Arial" w:hAnsi="Arial" w:cs="Arial"/>
                <w:b/>
                <w:sz w:val="24"/>
                <w:szCs w:val="24"/>
              </w:rPr>
            </w:pPr>
            <w:bookmarkStart w:id="1" w:name="periodo"/>
            <w:bookmarkEnd w:id="1"/>
            <w:r>
              <w:rPr>
                <w:rFonts w:ascii="Arial" w:hAnsi="Arial" w:cs="Arial"/>
                <w:b/>
                <w:sz w:val="24"/>
                <w:szCs w:val="24"/>
              </w:rPr>
              <w:t>DEL 1° DE ENERO AL 30 DE JUNIO DE 2024</w:t>
            </w:r>
          </w:p>
        </w:tc>
      </w:tr>
    </w:tbl>
    <w:p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rsidTr="00A45E83">
        <w:tc>
          <w:tcPr>
            <w:tcW w:w="8978" w:type="dxa"/>
          </w:tcPr>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46"/>
            </w:tblGrid>
            <w:tr w:rsidR="00B13E3D">
              <w:tc>
                <w:tcPr>
                  <w:tcW w:w="8978" w:type="dxa"/>
                  <w:tcBorders>
                    <w:top w:val="single" w:sz="6" w:space="0" w:color="auto"/>
                    <w:left w:val="single" w:sz="6" w:space="0" w:color="auto"/>
                    <w:bottom w:val="single" w:sz="6" w:space="0" w:color="auto"/>
                    <w:right w:val="single" w:sz="6" w:space="0" w:color="auto"/>
                  </w:tcBorders>
                </w:tcPr>
                <w:p w:rsidR="00B13E3D" w:rsidRDefault="00B13E3D" w:rsidP="00D40EF6">
                  <w:pPr>
                    <w:autoSpaceDE w:val="0"/>
                    <w:autoSpaceDN w:val="0"/>
                    <w:adjustRightInd w:val="0"/>
                    <w:spacing w:after="0" w:line="240" w:lineRule="auto"/>
                    <w:rPr>
                      <w:rFonts w:ascii="Arial" w:hAnsi="Arial" w:cs="Arial"/>
                      <w:b/>
                      <w:bCs/>
                      <w:sz w:val="24"/>
                      <w:szCs w:val="24"/>
                      <w:lang w:eastAsia="es-MX"/>
                    </w:rPr>
                  </w:pPr>
                  <w:bookmarkStart w:id="2" w:name="cuerpo"/>
                  <w:bookmarkEnd w:id="2"/>
                  <w:r>
                    <w:rPr>
                      <w:rFonts w:ascii="Arial" w:hAnsi="Arial" w:cs="Arial"/>
                      <w:noProof/>
                      <w:sz w:val="23"/>
                      <w:szCs w:val="23"/>
                      <w:lang w:eastAsia="es-MX"/>
                    </w:rPr>
                    <w:drawing>
                      <wp:inline distT="0" distB="0" distL="0" distR="0">
                        <wp:extent cx="669925" cy="7867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9925" cy="786765"/>
                                </a:xfrm>
                                <a:prstGeom prst="rect">
                                  <a:avLst/>
                                </a:prstGeom>
                                <a:noFill/>
                                <a:ln>
                                  <a:noFill/>
                                </a:ln>
                              </pic:spPr>
                            </pic:pic>
                          </a:graphicData>
                        </a:graphic>
                      </wp:inline>
                    </w:drawing>
                  </w:r>
                  <w:r>
                    <w:rPr>
                      <w:rFonts w:ascii="Times New Roman" w:hAnsi="Times New Roman"/>
                      <w:noProof/>
                      <w:lang w:eastAsia="es-MX"/>
                    </w:rPr>
                    <w:t xml:space="preserve"> </w:t>
                  </w:r>
                </w:p>
              </w:tc>
            </w:tr>
          </w:tbl>
          <w:p w:rsidR="00B13E3D" w:rsidRDefault="00B13E3D" w:rsidP="00B13E3D">
            <w:pPr>
              <w:autoSpaceDE w:val="0"/>
              <w:autoSpaceDN w:val="0"/>
              <w:adjustRightInd w:val="0"/>
              <w:spacing w:after="0" w:line="240" w:lineRule="auto"/>
              <w:rPr>
                <w:rFonts w:ascii="Arial" w:hAnsi="Arial" w:cs="Arial"/>
                <w:sz w:val="23"/>
                <w:szCs w:val="23"/>
                <w:lang w:eastAsia="es-MX"/>
              </w:rPr>
            </w:pPr>
          </w:p>
          <w:p w:rsidR="00B13E3D" w:rsidRDefault="00B13E3D" w:rsidP="00B13E3D">
            <w:pPr>
              <w:autoSpaceDE w:val="0"/>
              <w:autoSpaceDN w:val="0"/>
              <w:adjustRightInd w:val="0"/>
              <w:spacing w:after="0" w:line="240" w:lineRule="auto"/>
              <w:rPr>
                <w:rFonts w:ascii="Arial" w:hAnsi="Arial" w:cs="Arial"/>
                <w:sz w:val="23"/>
                <w:szCs w:val="23"/>
                <w:lang w:eastAsia="es-MX"/>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46"/>
            </w:tblGrid>
            <w:tr w:rsidR="00B13E3D">
              <w:tc>
                <w:tcPr>
                  <w:tcW w:w="8978" w:type="dxa"/>
                  <w:tcBorders>
                    <w:top w:val="single" w:sz="6" w:space="0" w:color="auto"/>
                    <w:left w:val="single" w:sz="6" w:space="0" w:color="auto"/>
                    <w:bottom w:val="single" w:sz="6" w:space="0" w:color="auto"/>
                    <w:right w:val="single" w:sz="6" w:space="0" w:color="auto"/>
                  </w:tcBorders>
                </w:tcPr>
                <w:p w:rsidR="00D40EF6" w:rsidRDefault="00B13E3D">
                  <w:pPr>
                    <w:autoSpaceDE w:val="0"/>
                    <w:autoSpaceDN w:val="0"/>
                    <w:adjustRightInd w:val="0"/>
                    <w:spacing w:after="0" w:line="240" w:lineRule="auto"/>
                    <w:rPr>
                      <w:rFonts w:ascii="Arial" w:hAnsi="Arial" w:cs="Arial"/>
                      <w:b/>
                      <w:bCs/>
                      <w:color w:val="000000"/>
                      <w:lang w:eastAsia="es-MX"/>
                    </w:rPr>
                  </w:pPr>
                  <w:r>
                    <w:rPr>
                      <w:rFonts w:ascii="Arial" w:hAnsi="Arial" w:cs="Arial"/>
                      <w:b/>
                      <w:bCs/>
                      <w:color w:val="000000"/>
                      <w:sz w:val="24"/>
                      <w:szCs w:val="24"/>
                      <w:lang w:eastAsia="es-MX"/>
                    </w:rPr>
                    <w:t xml:space="preserve">NOTAS DE GESTIÓN ADMINISTRATIVA   </w:t>
                  </w:r>
                  <w:r>
                    <w:rPr>
                      <w:rFonts w:ascii="Arial" w:hAnsi="Arial" w:cs="Arial"/>
                      <w:b/>
                      <w:bCs/>
                      <w:color w:val="000000"/>
                      <w:lang w:eastAsia="es-MX"/>
                    </w:rPr>
                    <w:t xml:space="preserve">  </w:t>
                  </w:r>
                </w:p>
                <w:p w:rsidR="00D40EF6" w:rsidRDefault="00D40EF6">
                  <w:pPr>
                    <w:autoSpaceDE w:val="0"/>
                    <w:autoSpaceDN w:val="0"/>
                    <w:adjustRightInd w:val="0"/>
                    <w:spacing w:after="0" w:line="240" w:lineRule="auto"/>
                    <w:rPr>
                      <w:rFonts w:ascii="Arial" w:hAnsi="Arial" w:cs="Arial"/>
                      <w:b/>
                      <w:bCs/>
                      <w:color w:val="000000"/>
                      <w:lang w:eastAsia="es-MX"/>
                    </w:rPr>
                  </w:pPr>
                </w:p>
                <w:p w:rsidR="00D40EF6" w:rsidRDefault="00B13E3D" w:rsidP="00D40EF6">
                  <w:pPr>
                    <w:autoSpaceDE w:val="0"/>
                    <w:autoSpaceDN w:val="0"/>
                    <w:adjustRightInd w:val="0"/>
                    <w:spacing w:after="0" w:line="240" w:lineRule="auto"/>
                    <w:jc w:val="both"/>
                    <w:rPr>
                      <w:rFonts w:ascii="Arial" w:hAnsi="Arial" w:cs="Arial"/>
                      <w:color w:val="000000"/>
                      <w:sz w:val="24"/>
                      <w:szCs w:val="24"/>
                      <w:lang w:eastAsia="es-MX"/>
                    </w:rPr>
                  </w:pPr>
                  <w:r>
                    <w:rPr>
                      <w:rFonts w:ascii="Arial" w:hAnsi="Arial" w:cs="Arial"/>
                      <w:b/>
                      <w:bCs/>
                      <w:color w:val="000000"/>
                      <w:lang w:eastAsia="es-MX"/>
                    </w:rPr>
                    <w:t xml:space="preserve"> </w:t>
                  </w:r>
                  <w:r>
                    <w:rPr>
                      <w:rFonts w:ascii="Arial" w:hAnsi="Arial" w:cs="Arial"/>
                      <w:color w:val="000000"/>
                      <w:sz w:val="24"/>
                      <w:szCs w:val="24"/>
                      <w:lang w:eastAsia="es-MX"/>
                    </w:rPr>
                    <w:t>Estas notas tienen como objetivo la revelación de contexto y de los aspectos económico-financieros más relevantes que influyeron en las decisiones del periodo y que deberán ser considerados en la elaboración de los estados financieros para mayor comprensión de los mismos y sus particularidades.</w:t>
                  </w:r>
                </w:p>
                <w:p w:rsidR="00D40EF6" w:rsidRDefault="00D40EF6" w:rsidP="00D40EF6">
                  <w:pPr>
                    <w:autoSpaceDE w:val="0"/>
                    <w:autoSpaceDN w:val="0"/>
                    <w:adjustRightInd w:val="0"/>
                    <w:spacing w:after="0" w:line="240" w:lineRule="auto"/>
                    <w:jc w:val="both"/>
                    <w:rPr>
                      <w:rFonts w:ascii="Arial" w:hAnsi="Arial" w:cs="Arial"/>
                      <w:color w:val="000000"/>
                      <w:sz w:val="24"/>
                      <w:szCs w:val="24"/>
                      <w:lang w:eastAsia="es-MX"/>
                    </w:rPr>
                  </w:pPr>
                </w:p>
                <w:p w:rsidR="00D40EF6" w:rsidRDefault="00B13E3D" w:rsidP="00D40EF6">
                  <w:pPr>
                    <w:autoSpaceDE w:val="0"/>
                    <w:autoSpaceDN w:val="0"/>
                    <w:adjustRightInd w:val="0"/>
                    <w:spacing w:after="0" w:line="240" w:lineRule="auto"/>
                    <w:jc w:val="both"/>
                    <w:rPr>
                      <w:rFonts w:ascii="Arial" w:hAnsi="Arial" w:cs="Arial"/>
                      <w:color w:val="000000"/>
                      <w:sz w:val="24"/>
                      <w:szCs w:val="24"/>
                      <w:lang w:eastAsia="es-MX"/>
                    </w:rPr>
                  </w:pPr>
                  <w:r>
                    <w:rPr>
                      <w:rFonts w:ascii="Arial" w:hAnsi="Arial" w:cs="Arial"/>
                      <w:color w:val="000000"/>
                      <w:sz w:val="24"/>
                      <w:szCs w:val="24"/>
                      <w:lang w:eastAsia="es-MX"/>
                    </w:rPr>
                    <w:t xml:space="preserve">  De esta manera, se informan y explican las condiciones relacionadas con la información financiera de cada periodo de gestión además, de exponer aquellas políticas que podrían afectar la toma de decisiones en periodos posteriores.    </w:t>
                  </w:r>
                </w:p>
                <w:p w:rsidR="00D40EF6" w:rsidRDefault="00D40EF6" w:rsidP="00D40EF6">
                  <w:pPr>
                    <w:autoSpaceDE w:val="0"/>
                    <w:autoSpaceDN w:val="0"/>
                    <w:adjustRightInd w:val="0"/>
                    <w:spacing w:after="0" w:line="240" w:lineRule="auto"/>
                    <w:jc w:val="both"/>
                    <w:rPr>
                      <w:rFonts w:ascii="Arial" w:hAnsi="Arial" w:cs="Arial"/>
                      <w:color w:val="000000"/>
                      <w:sz w:val="24"/>
                      <w:szCs w:val="24"/>
                      <w:lang w:eastAsia="es-MX"/>
                    </w:rPr>
                  </w:pPr>
                </w:p>
                <w:p w:rsidR="00D40EF6" w:rsidRDefault="00B13E3D" w:rsidP="00D40EF6">
                  <w:pPr>
                    <w:autoSpaceDE w:val="0"/>
                    <w:autoSpaceDN w:val="0"/>
                    <w:adjustRightInd w:val="0"/>
                    <w:spacing w:after="0" w:line="240" w:lineRule="auto"/>
                    <w:jc w:val="both"/>
                    <w:rPr>
                      <w:rFonts w:ascii="Arial" w:hAnsi="Arial" w:cs="Arial"/>
                      <w:color w:val="000000"/>
                      <w:sz w:val="24"/>
                      <w:szCs w:val="24"/>
                      <w:lang w:eastAsia="es-MX"/>
                    </w:rPr>
                  </w:pPr>
                  <w:r>
                    <w:rPr>
                      <w:rFonts w:ascii="Arial" w:hAnsi="Arial" w:cs="Arial"/>
                      <w:b/>
                      <w:bCs/>
                      <w:color w:val="000000"/>
                      <w:sz w:val="24"/>
                      <w:szCs w:val="24"/>
                      <w:lang w:eastAsia="es-MX"/>
                    </w:rPr>
                    <w:t xml:space="preserve">1. Autorización e Historia </w:t>
                  </w:r>
                  <w:r>
                    <w:rPr>
                      <w:rFonts w:ascii="Arial" w:hAnsi="Arial" w:cs="Arial"/>
                      <w:color w:val="000000"/>
                      <w:sz w:val="24"/>
                      <w:szCs w:val="24"/>
                      <w:lang w:eastAsia="es-MX"/>
                    </w:rPr>
                    <w:t xml:space="preserve"> Guadalajara es un municipio y capital del estado mexicano de Jalisco, así como cabecera del área urbana que lleva su nombre: Zona Metropolitana de Guadalajara. La ciudad, en el sitio donde actualmente se encuentra, fue fundada el 14 de febrero de 1542; en agosto de 1542, llegaron a su destino las reales cédulas expedidas por el emperador Carlos V de Alemania y I de España, en las cuales concedía a Guadalajara el título de ciudad y escudo de armas.      </w:t>
                  </w:r>
                </w:p>
                <w:p w:rsidR="00D40EF6" w:rsidRDefault="00D40EF6">
                  <w:pPr>
                    <w:autoSpaceDE w:val="0"/>
                    <w:autoSpaceDN w:val="0"/>
                    <w:adjustRightInd w:val="0"/>
                    <w:spacing w:after="0" w:line="240" w:lineRule="auto"/>
                    <w:rPr>
                      <w:rFonts w:ascii="Arial" w:hAnsi="Arial" w:cs="Arial"/>
                      <w:color w:val="000000"/>
                      <w:sz w:val="24"/>
                      <w:szCs w:val="24"/>
                      <w:lang w:eastAsia="es-MX"/>
                    </w:rPr>
                  </w:pPr>
                </w:p>
                <w:p w:rsidR="00D40EF6" w:rsidRDefault="00B13E3D" w:rsidP="00D40EF6">
                  <w:pPr>
                    <w:autoSpaceDE w:val="0"/>
                    <w:autoSpaceDN w:val="0"/>
                    <w:adjustRightInd w:val="0"/>
                    <w:spacing w:after="0" w:line="240" w:lineRule="auto"/>
                    <w:jc w:val="both"/>
                    <w:rPr>
                      <w:rFonts w:ascii="Arial" w:hAnsi="Arial" w:cs="Arial"/>
                      <w:color w:val="000000"/>
                      <w:sz w:val="24"/>
                      <w:szCs w:val="24"/>
                      <w:lang w:eastAsia="es-MX"/>
                    </w:rPr>
                  </w:pPr>
                  <w:r>
                    <w:rPr>
                      <w:rFonts w:ascii="Arial" w:hAnsi="Arial" w:cs="Arial"/>
                      <w:b/>
                      <w:bCs/>
                      <w:color w:val="000000"/>
                      <w:sz w:val="24"/>
                      <w:szCs w:val="24"/>
                      <w:lang w:eastAsia="es-MX"/>
                    </w:rPr>
                    <w:t>2. Panorama Económico y Financiero</w:t>
                  </w:r>
                  <w:r>
                    <w:rPr>
                      <w:rFonts w:ascii="Arial" w:hAnsi="Arial" w:cs="Arial"/>
                      <w:color w:val="000000"/>
                      <w:sz w:val="24"/>
                      <w:szCs w:val="24"/>
                      <w:lang w:eastAsia="es-MX"/>
                    </w:rPr>
                    <w:t xml:space="preserve"> La gestión administrativa del Municipio, se vio afectada en su liquidez al 30 de Junio de 2024, principalmente por la aplicación de recursos </w:t>
                  </w:r>
                  <w:r>
                    <w:rPr>
                      <w:rFonts w:ascii="Arial" w:hAnsi="Arial" w:cs="Arial"/>
                      <w:sz w:val="24"/>
                      <w:szCs w:val="24"/>
                      <w:lang w:eastAsia="es-MX"/>
                    </w:rPr>
                    <w:t xml:space="preserve">al pago de 2 créditos bancarios </w:t>
                  </w:r>
                  <w:r>
                    <w:rPr>
                      <w:rFonts w:ascii="Arial" w:hAnsi="Arial" w:cs="Arial"/>
                      <w:color w:val="000000"/>
                      <w:sz w:val="24"/>
                      <w:szCs w:val="24"/>
                      <w:lang w:eastAsia="es-MX"/>
                    </w:rPr>
                    <w:t xml:space="preserve">a largo plazo, garantizados con las participaciones que percibe el Municipio y los intereses correspondientes.   Así como la solicitud de un crédito simple con </w:t>
                  </w:r>
                  <w:proofErr w:type="spellStart"/>
                  <w:r>
                    <w:rPr>
                      <w:rFonts w:ascii="Arial" w:hAnsi="Arial" w:cs="Arial"/>
                      <w:color w:val="000000"/>
                      <w:sz w:val="24"/>
                      <w:szCs w:val="24"/>
                      <w:lang w:eastAsia="es-MX"/>
                    </w:rPr>
                    <w:t>Banobras</w:t>
                  </w:r>
                  <w:proofErr w:type="spellEnd"/>
                  <w:r>
                    <w:rPr>
                      <w:rFonts w:ascii="Arial" w:hAnsi="Arial" w:cs="Arial"/>
                      <w:color w:val="000000"/>
                      <w:sz w:val="24"/>
                      <w:szCs w:val="24"/>
                      <w:lang w:eastAsia="es-MX"/>
                    </w:rPr>
                    <w:t xml:space="preserve">,  garantizado con el pago de la aportación federal Fondo de Infraestructura Social Municipal.  Adicionalmente, obran sobre el Municipio diversas demandas de tipo laboral, iniciadas por ex - servidores públicos, lo que ha representado altos desembolsos no previstos.   </w:t>
                  </w:r>
                  <w:r>
                    <w:rPr>
                      <w:rFonts w:ascii="Arial" w:hAnsi="Arial" w:cs="Arial"/>
                      <w:b/>
                      <w:bCs/>
                      <w:color w:val="000000"/>
                      <w:sz w:val="24"/>
                      <w:szCs w:val="24"/>
                      <w:lang w:eastAsia="es-MX"/>
                    </w:rPr>
                    <w:t xml:space="preserve"> </w:t>
                  </w:r>
                  <w:r>
                    <w:rPr>
                      <w:rFonts w:ascii="Arial" w:hAnsi="Arial" w:cs="Arial"/>
                      <w:color w:val="000000"/>
                      <w:sz w:val="24"/>
                      <w:szCs w:val="24"/>
                      <w:lang w:eastAsia="es-MX"/>
                    </w:rPr>
                    <w:t xml:space="preserve">   </w:t>
                  </w:r>
                </w:p>
                <w:p w:rsidR="00D40EF6" w:rsidRDefault="00D40EF6" w:rsidP="00D40EF6">
                  <w:pPr>
                    <w:autoSpaceDE w:val="0"/>
                    <w:autoSpaceDN w:val="0"/>
                    <w:adjustRightInd w:val="0"/>
                    <w:spacing w:after="0" w:line="240" w:lineRule="auto"/>
                    <w:jc w:val="both"/>
                    <w:rPr>
                      <w:rFonts w:ascii="Arial" w:hAnsi="Arial" w:cs="Arial"/>
                      <w:color w:val="000000"/>
                      <w:sz w:val="24"/>
                      <w:szCs w:val="24"/>
                      <w:lang w:eastAsia="es-MX"/>
                    </w:rPr>
                  </w:pPr>
                </w:p>
                <w:p w:rsidR="00D40EF6" w:rsidRDefault="00B13E3D" w:rsidP="00D40EF6">
                  <w:pPr>
                    <w:autoSpaceDE w:val="0"/>
                    <w:autoSpaceDN w:val="0"/>
                    <w:adjustRightInd w:val="0"/>
                    <w:spacing w:after="0" w:line="240" w:lineRule="auto"/>
                    <w:jc w:val="both"/>
                    <w:rPr>
                      <w:rFonts w:ascii="Arial" w:hAnsi="Arial" w:cs="Arial"/>
                      <w:color w:val="000000"/>
                      <w:sz w:val="24"/>
                      <w:szCs w:val="24"/>
                      <w:lang w:eastAsia="es-MX"/>
                    </w:rPr>
                  </w:pPr>
                  <w:r>
                    <w:rPr>
                      <w:rFonts w:ascii="Arial" w:hAnsi="Arial" w:cs="Arial"/>
                      <w:b/>
                      <w:bCs/>
                      <w:color w:val="000000"/>
                      <w:sz w:val="24"/>
                      <w:szCs w:val="24"/>
                      <w:lang w:eastAsia="es-MX"/>
                    </w:rPr>
                    <w:t xml:space="preserve">3. Organización y Objeto Social </w:t>
                  </w:r>
                  <w:r>
                    <w:rPr>
                      <w:rFonts w:ascii="Arial" w:hAnsi="Arial" w:cs="Arial"/>
                      <w:color w:val="000000"/>
                      <w:sz w:val="24"/>
                      <w:szCs w:val="24"/>
                      <w:lang w:eastAsia="es-MX"/>
                    </w:rPr>
                    <w:t xml:space="preserve"> De conformidad con el artículo 115 de la Constitución Política de los Estados Unidos Mexicanos y la Constitución Política del Estado de Jalisco, el municipio libre es la base de la división territorial de los estados y de su organización política y administrativa, y está investido de personalidad jurídica y patrimonio propios. </w:t>
                  </w:r>
                </w:p>
                <w:p w:rsidR="00D40EF6" w:rsidRDefault="00D40EF6">
                  <w:pPr>
                    <w:autoSpaceDE w:val="0"/>
                    <w:autoSpaceDN w:val="0"/>
                    <w:adjustRightInd w:val="0"/>
                    <w:spacing w:after="0" w:line="240" w:lineRule="auto"/>
                    <w:rPr>
                      <w:rFonts w:ascii="Arial" w:hAnsi="Arial" w:cs="Arial"/>
                      <w:color w:val="000000"/>
                      <w:sz w:val="24"/>
                      <w:szCs w:val="24"/>
                      <w:lang w:eastAsia="es-MX"/>
                    </w:rPr>
                  </w:pPr>
                </w:p>
                <w:p w:rsidR="00D40EF6" w:rsidRDefault="00B13E3D" w:rsidP="00D40EF6">
                  <w:pPr>
                    <w:autoSpaceDE w:val="0"/>
                    <w:autoSpaceDN w:val="0"/>
                    <w:adjustRightInd w:val="0"/>
                    <w:spacing w:after="0" w:line="240" w:lineRule="auto"/>
                    <w:jc w:val="both"/>
                    <w:rPr>
                      <w:rFonts w:ascii="Arial" w:hAnsi="Arial" w:cs="Arial"/>
                      <w:color w:val="000000"/>
                      <w:sz w:val="24"/>
                      <w:szCs w:val="24"/>
                      <w:lang w:eastAsia="es-MX"/>
                    </w:rPr>
                  </w:pPr>
                  <w:r>
                    <w:rPr>
                      <w:rFonts w:ascii="Arial" w:hAnsi="Arial" w:cs="Arial"/>
                      <w:color w:val="000000"/>
                      <w:sz w:val="24"/>
                      <w:szCs w:val="24"/>
                      <w:lang w:eastAsia="es-MX"/>
                    </w:rPr>
                    <w:t xml:space="preserve">El Municipio de Guadalajara es gobernado por un Ayuntamiento de elección popular directa, integrado por el Presidente Municipal, 19 regidores y un síndico. La competencia otorgada al gobierno municipal se ejerce por el Ayuntamiento de manera exclusiva y no existe una autoridad intermedia alguna entre éste y el gobierno del Estado.  </w:t>
                  </w:r>
                </w:p>
                <w:p w:rsidR="00D40EF6" w:rsidRDefault="00D40EF6" w:rsidP="00D40EF6">
                  <w:pPr>
                    <w:autoSpaceDE w:val="0"/>
                    <w:autoSpaceDN w:val="0"/>
                    <w:adjustRightInd w:val="0"/>
                    <w:spacing w:after="0" w:line="240" w:lineRule="auto"/>
                    <w:jc w:val="both"/>
                    <w:rPr>
                      <w:rFonts w:ascii="Arial" w:hAnsi="Arial" w:cs="Arial"/>
                      <w:color w:val="000000"/>
                      <w:sz w:val="24"/>
                      <w:szCs w:val="24"/>
                      <w:lang w:eastAsia="es-MX"/>
                    </w:rPr>
                  </w:pPr>
                </w:p>
                <w:p w:rsidR="00D40EF6" w:rsidRDefault="00B13E3D" w:rsidP="00D40EF6">
                  <w:pPr>
                    <w:autoSpaceDE w:val="0"/>
                    <w:autoSpaceDN w:val="0"/>
                    <w:adjustRightInd w:val="0"/>
                    <w:spacing w:after="0" w:line="240" w:lineRule="auto"/>
                    <w:jc w:val="both"/>
                    <w:rPr>
                      <w:rFonts w:ascii="Arial" w:hAnsi="Arial" w:cs="Arial"/>
                      <w:color w:val="000000"/>
                      <w:sz w:val="24"/>
                      <w:szCs w:val="24"/>
                      <w:lang w:eastAsia="es-MX"/>
                    </w:rPr>
                  </w:pPr>
                  <w:r>
                    <w:rPr>
                      <w:rFonts w:ascii="Arial" w:hAnsi="Arial" w:cs="Arial"/>
                      <w:color w:val="000000"/>
                      <w:sz w:val="24"/>
                      <w:szCs w:val="24"/>
                      <w:lang w:eastAsia="es-MX"/>
                    </w:rPr>
                    <w:t xml:space="preserve"> Para el despacho de los asuntos administrativos y para auxiliar en sus funciones al Ayuntamiento, el Municipio cuenta con dependencias y entidades, mismas que integran la administración centralizada y paramunicipal, respectivamente. </w:t>
                  </w:r>
                </w:p>
                <w:p w:rsidR="00D40EF6" w:rsidRDefault="00D40EF6" w:rsidP="00D40EF6">
                  <w:pPr>
                    <w:autoSpaceDE w:val="0"/>
                    <w:autoSpaceDN w:val="0"/>
                    <w:adjustRightInd w:val="0"/>
                    <w:spacing w:after="0" w:line="240" w:lineRule="auto"/>
                    <w:jc w:val="both"/>
                    <w:rPr>
                      <w:rFonts w:ascii="Arial" w:hAnsi="Arial" w:cs="Arial"/>
                      <w:color w:val="000000"/>
                      <w:sz w:val="24"/>
                      <w:szCs w:val="24"/>
                      <w:lang w:eastAsia="es-MX"/>
                    </w:rPr>
                  </w:pPr>
                </w:p>
                <w:p w:rsidR="00D40EF6" w:rsidRDefault="00B13E3D" w:rsidP="00D40EF6">
                  <w:pPr>
                    <w:autoSpaceDE w:val="0"/>
                    <w:autoSpaceDN w:val="0"/>
                    <w:adjustRightInd w:val="0"/>
                    <w:spacing w:after="0" w:line="240" w:lineRule="auto"/>
                    <w:jc w:val="both"/>
                    <w:rPr>
                      <w:rFonts w:ascii="Arial" w:hAnsi="Arial" w:cs="Arial"/>
                      <w:color w:val="000000"/>
                      <w:sz w:val="24"/>
                      <w:szCs w:val="24"/>
                      <w:lang w:eastAsia="es-MX"/>
                    </w:rPr>
                  </w:pPr>
                  <w:r>
                    <w:rPr>
                      <w:rFonts w:ascii="Arial" w:hAnsi="Arial" w:cs="Arial"/>
                      <w:color w:val="000000"/>
                      <w:sz w:val="24"/>
                      <w:szCs w:val="24"/>
                      <w:lang w:eastAsia="es-MX"/>
                    </w:rPr>
                    <w:t xml:space="preserve">La actual administración, organizacionalmente, está estructurada conforme lo dispone el Código de Gobierno Municipal de Guadalajara, publicado en la gaceta Municipal última reforma 03 de Febrero de 2022 así como las modificaciones realizadas a la fecha. </w:t>
                  </w:r>
                </w:p>
                <w:p w:rsidR="00D40EF6" w:rsidRDefault="00D40EF6" w:rsidP="00D40EF6">
                  <w:pPr>
                    <w:autoSpaceDE w:val="0"/>
                    <w:autoSpaceDN w:val="0"/>
                    <w:adjustRightInd w:val="0"/>
                    <w:spacing w:after="0" w:line="240" w:lineRule="auto"/>
                    <w:jc w:val="both"/>
                    <w:rPr>
                      <w:rFonts w:ascii="Arial" w:hAnsi="Arial" w:cs="Arial"/>
                      <w:color w:val="000000"/>
                      <w:sz w:val="24"/>
                      <w:szCs w:val="24"/>
                      <w:lang w:eastAsia="es-MX"/>
                    </w:rPr>
                  </w:pPr>
                </w:p>
                <w:p w:rsidR="00D40EF6" w:rsidRDefault="00B13E3D" w:rsidP="00D40EF6">
                  <w:pPr>
                    <w:autoSpaceDE w:val="0"/>
                    <w:autoSpaceDN w:val="0"/>
                    <w:adjustRightInd w:val="0"/>
                    <w:spacing w:after="0" w:line="240" w:lineRule="auto"/>
                    <w:jc w:val="both"/>
                    <w:rPr>
                      <w:rFonts w:ascii="Arial" w:hAnsi="Arial" w:cs="Arial"/>
                      <w:color w:val="000000"/>
                      <w:sz w:val="24"/>
                      <w:szCs w:val="24"/>
                      <w:lang w:eastAsia="es-MX"/>
                    </w:rPr>
                  </w:pPr>
                  <w:r>
                    <w:rPr>
                      <w:rFonts w:ascii="Arial" w:hAnsi="Arial" w:cs="Arial"/>
                      <w:color w:val="000000"/>
                      <w:sz w:val="24"/>
                      <w:szCs w:val="24"/>
                      <w:lang w:eastAsia="es-MX"/>
                    </w:rPr>
                    <w:t>La Hacienda Municipal se forma con los impuestos, derechos, productos y aprovechamientos que anualmente propongan los Ayuntamientos y apruebe el Congreso del Estado;</w:t>
                  </w:r>
                </w:p>
                <w:p w:rsidR="00D40EF6" w:rsidRDefault="00D40EF6" w:rsidP="00D40EF6">
                  <w:pPr>
                    <w:autoSpaceDE w:val="0"/>
                    <w:autoSpaceDN w:val="0"/>
                    <w:adjustRightInd w:val="0"/>
                    <w:spacing w:after="0" w:line="240" w:lineRule="auto"/>
                    <w:jc w:val="both"/>
                    <w:rPr>
                      <w:rFonts w:ascii="Arial" w:hAnsi="Arial" w:cs="Arial"/>
                      <w:color w:val="000000"/>
                      <w:sz w:val="24"/>
                      <w:szCs w:val="24"/>
                      <w:lang w:eastAsia="es-MX"/>
                    </w:rPr>
                  </w:pPr>
                </w:p>
                <w:p w:rsidR="00D40EF6" w:rsidRDefault="00B13E3D" w:rsidP="00D40EF6">
                  <w:pPr>
                    <w:autoSpaceDE w:val="0"/>
                    <w:autoSpaceDN w:val="0"/>
                    <w:adjustRightInd w:val="0"/>
                    <w:spacing w:after="0" w:line="240" w:lineRule="auto"/>
                    <w:jc w:val="both"/>
                    <w:rPr>
                      <w:rFonts w:ascii="Arial" w:hAnsi="Arial" w:cs="Arial"/>
                      <w:color w:val="000000"/>
                      <w:sz w:val="24"/>
                      <w:szCs w:val="24"/>
                      <w:lang w:eastAsia="es-MX"/>
                    </w:rPr>
                  </w:pPr>
                  <w:r>
                    <w:rPr>
                      <w:rFonts w:ascii="Arial" w:hAnsi="Arial" w:cs="Arial"/>
                      <w:color w:val="000000"/>
                      <w:sz w:val="24"/>
                      <w:szCs w:val="24"/>
                      <w:lang w:eastAsia="es-MX"/>
                    </w:rPr>
                    <w:t xml:space="preserve"> los ingresos que establezcan las leyes fiscales a su favor y en todo caso con: </w:t>
                  </w:r>
                </w:p>
                <w:p w:rsidR="00D40EF6" w:rsidRDefault="00D40EF6" w:rsidP="00D40EF6">
                  <w:pPr>
                    <w:autoSpaceDE w:val="0"/>
                    <w:autoSpaceDN w:val="0"/>
                    <w:adjustRightInd w:val="0"/>
                    <w:spacing w:after="0" w:line="240" w:lineRule="auto"/>
                    <w:jc w:val="both"/>
                    <w:rPr>
                      <w:rFonts w:ascii="Arial" w:hAnsi="Arial" w:cs="Arial"/>
                      <w:color w:val="000000"/>
                      <w:sz w:val="24"/>
                      <w:szCs w:val="24"/>
                      <w:lang w:eastAsia="es-MX"/>
                    </w:rPr>
                  </w:pPr>
                </w:p>
                <w:p w:rsidR="00D40EF6" w:rsidRPr="00D40EF6" w:rsidRDefault="00B13E3D" w:rsidP="00D40EF6">
                  <w:pPr>
                    <w:pStyle w:val="Prrafodelista"/>
                    <w:numPr>
                      <w:ilvl w:val="0"/>
                      <w:numId w:val="1"/>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color w:val="000000"/>
                      <w:sz w:val="24"/>
                      <w:szCs w:val="24"/>
                      <w:lang w:eastAsia="es-MX"/>
                    </w:rPr>
                    <w:t>Las contribuciones sobre la propiedad inmobiliaria, incluyendo tasas adicionales que establezca el Congreso del Estado, de su fraccionamiento, división, consolidación, tr</w:t>
                  </w:r>
                  <w:r w:rsidRPr="00D40EF6">
                    <w:rPr>
                      <w:rFonts w:ascii="Arial" w:hAnsi="Arial" w:cs="Arial"/>
                      <w:sz w:val="24"/>
                      <w:szCs w:val="24"/>
                      <w:lang w:eastAsia="es-MX"/>
                    </w:rPr>
                    <w:t xml:space="preserve">anslación y mejora, así como las que tengan por base el cambio del valor de los inmuebles.    </w:t>
                  </w:r>
                </w:p>
                <w:p w:rsidR="00D40EF6" w:rsidRDefault="00B13E3D" w:rsidP="00D40EF6">
                  <w:pPr>
                    <w:pStyle w:val="Prrafodelista"/>
                    <w:numPr>
                      <w:ilvl w:val="0"/>
                      <w:numId w:val="1"/>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Las participaciones federales que sean cubiertas por la Federación a los municipios, con arreglo a las bases, montos y plazos que anualmente se determinen por el Congreso del Estado; y </w:t>
                  </w:r>
                </w:p>
                <w:p w:rsidR="00D40EF6" w:rsidRDefault="00B13E3D" w:rsidP="00D40EF6">
                  <w:pPr>
                    <w:pStyle w:val="Prrafodelista"/>
                    <w:numPr>
                      <w:ilvl w:val="0"/>
                      <w:numId w:val="1"/>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Los ingresos derivados de la prestación de servicios públicos a su cargo.   Además de los ingresos que forman parte de la Hacienda Municipal, se perciben las aportaciones federales para fines específicos, que a través de los diferentes fondos establezcan el presupuesto de egresos de la Federación, la Ley de Coordinación Fiscal y los convenios respectivos.</w:t>
                  </w:r>
                </w:p>
                <w:p w:rsidR="00D40EF6" w:rsidRDefault="00D40EF6" w:rsidP="00D40EF6">
                  <w:pPr>
                    <w:pStyle w:val="Prrafodelista"/>
                    <w:autoSpaceDE w:val="0"/>
                    <w:autoSpaceDN w:val="0"/>
                    <w:adjustRightInd w:val="0"/>
                    <w:spacing w:after="0" w:line="240" w:lineRule="auto"/>
                    <w:ind w:left="915"/>
                    <w:jc w:val="both"/>
                    <w:rPr>
                      <w:rFonts w:ascii="Arial" w:hAnsi="Arial" w:cs="Arial"/>
                      <w:sz w:val="24"/>
                      <w:szCs w:val="24"/>
                      <w:lang w:eastAsia="es-MX"/>
                    </w:rPr>
                  </w:pPr>
                </w:p>
                <w:p w:rsidR="00D40EF6" w:rsidRPr="00D40EF6" w:rsidRDefault="00D40EF6" w:rsidP="00D40EF6">
                  <w:pPr>
                    <w:autoSpaceDE w:val="0"/>
                    <w:autoSpaceDN w:val="0"/>
                    <w:adjustRightInd w:val="0"/>
                    <w:spacing w:after="0" w:line="240" w:lineRule="auto"/>
                    <w:ind w:left="195"/>
                    <w:jc w:val="both"/>
                    <w:rPr>
                      <w:rFonts w:ascii="Arial" w:hAnsi="Arial" w:cs="Arial"/>
                      <w:sz w:val="24"/>
                      <w:szCs w:val="24"/>
                      <w:lang w:eastAsia="es-MX"/>
                    </w:rPr>
                  </w:pP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 El Congreso del Estado debe aprobar la ley de ingresos del municipio y el Ayuntamiento el presupuesto de egresos, con base en sus ingresos disponibles, planes municipales de desarrollo, programas que señalen los objetivos, las metas con base en indicadores de desempeño y las unidades responsables de su ejecución, traducidos en capítulos, conceptos y partidas presupuestales, así como a los principios de racionalidad, austeridad, disciplina presupuestal, motivación, certeza, equidad y proporcionalidad. </w:t>
                  </w: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      </w:t>
                  </w:r>
                </w:p>
                <w:p w:rsidR="00D40EF6" w:rsidRDefault="00D40EF6" w:rsidP="00D40EF6">
                  <w:pPr>
                    <w:autoSpaceDE w:val="0"/>
                    <w:autoSpaceDN w:val="0"/>
                    <w:adjustRightInd w:val="0"/>
                    <w:spacing w:after="0" w:line="240" w:lineRule="auto"/>
                    <w:jc w:val="both"/>
                    <w:rPr>
                      <w:rFonts w:ascii="Arial" w:hAnsi="Arial" w:cs="Arial"/>
                      <w:sz w:val="24"/>
                      <w:szCs w:val="24"/>
                      <w:lang w:eastAsia="es-MX"/>
                    </w:rPr>
                  </w:pPr>
                </w:p>
                <w:p w:rsidR="00D40EF6" w:rsidRDefault="00D40EF6" w:rsidP="00D40EF6">
                  <w:pPr>
                    <w:autoSpaceDE w:val="0"/>
                    <w:autoSpaceDN w:val="0"/>
                    <w:adjustRightInd w:val="0"/>
                    <w:spacing w:after="0" w:line="240" w:lineRule="auto"/>
                    <w:jc w:val="both"/>
                    <w:rPr>
                      <w:rFonts w:ascii="Arial" w:hAnsi="Arial" w:cs="Arial"/>
                      <w:sz w:val="24"/>
                      <w:szCs w:val="24"/>
                      <w:lang w:eastAsia="es-MX"/>
                    </w:rPr>
                  </w:pP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El patrimonio municipal se integra por:   </w:t>
                  </w:r>
                </w:p>
                <w:p w:rsidR="00D40EF6" w:rsidRDefault="00D40EF6" w:rsidP="00D40EF6">
                  <w:pPr>
                    <w:autoSpaceDE w:val="0"/>
                    <w:autoSpaceDN w:val="0"/>
                    <w:adjustRightInd w:val="0"/>
                    <w:spacing w:after="0" w:line="240" w:lineRule="auto"/>
                    <w:jc w:val="both"/>
                    <w:rPr>
                      <w:rFonts w:ascii="Arial" w:hAnsi="Arial" w:cs="Arial"/>
                      <w:sz w:val="24"/>
                      <w:szCs w:val="24"/>
                      <w:lang w:eastAsia="es-MX"/>
                    </w:rPr>
                  </w:pPr>
                </w:p>
                <w:p w:rsidR="00D40EF6" w:rsidRPr="00D40EF6" w:rsidRDefault="00B13E3D" w:rsidP="00D40EF6">
                  <w:pPr>
                    <w:pStyle w:val="Prrafodelista"/>
                    <w:numPr>
                      <w:ilvl w:val="0"/>
                      <w:numId w:val="2"/>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Los bienes de dominio público del Municipio;     </w:t>
                  </w:r>
                </w:p>
                <w:p w:rsidR="00D40EF6" w:rsidRDefault="00B13E3D" w:rsidP="00D40EF6">
                  <w:pPr>
                    <w:pStyle w:val="Prrafodelista"/>
                    <w:numPr>
                      <w:ilvl w:val="0"/>
                      <w:numId w:val="2"/>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Los bienes de dominio privado del Municipio; </w:t>
                  </w:r>
                </w:p>
                <w:p w:rsidR="00D40EF6" w:rsidRDefault="00B13E3D" w:rsidP="00D40EF6">
                  <w:pPr>
                    <w:pStyle w:val="Prrafodelista"/>
                    <w:numPr>
                      <w:ilvl w:val="0"/>
                      <w:numId w:val="2"/>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Los capitales, impuestos, e hipoteca y demás créditos en favor del Municipio, así como las donaciones y legados que se reciban; y   </w:t>
                  </w:r>
                </w:p>
                <w:p w:rsidR="00D40EF6" w:rsidRDefault="00B13E3D" w:rsidP="00D40EF6">
                  <w:pPr>
                    <w:pStyle w:val="Prrafodelista"/>
                    <w:numPr>
                      <w:ilvl w:val="0"/>
                      <w:numId w:val="2"/>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Las cuentas en administración, con las limitaciones establecidas en la ley.    </w:t>
                  </w:r>
                </w:p>
                <w:p w:rsidR="00D40EF6" w:rsidRDefault="00D40EF6" w:rsidP="00D40EF6">
                  <w:pPr>
                    <w:pStyle w:val="Prrafodelista"/>
                    <w:autoSpaceDE w:val="0"/>
                    <w:autoSpaceDN w:val="0"/>
                    <w:adjustRightInd w:val="0"/>
                    <w:spacing w:after="0" w:line="240" w:lineRule="auto"/>
                    <w:ind w:left="1080"/>
                    <w:jc w:val="both"/>
                    <w:rPr>
                      <w:rFonts w:ascii="Arial" w:hAnsi="Arial" w:cs="Arial"/>
                      <w:sz w:val="24"/>
                      <w:szCs w:val="24"/>
                      <w:lang w:eastAsia="es-MX"/>
                    </w:rPr>
                  </w:pP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Los servicios públicos que el Municipio está obligado a prestar son los siguientes:  </w:t>
                  </w:r>
                </w:p>
                <w:p w:rsidR="00D40EF6" w:rsidRDefault="00D40EF6" w:rsidP="00D40EF6">
                  <w:pPr>
                    <w:autoSpaceDE w:val="0"/>
                    <w:autoSpaceDN w:val="0"/>
                    <w:adjustRightInd w:val="0"/>
                    <w:spacing w:after="0" w:line="240" w:lineRule="auto"/>
                    <w:jc w:val="both"/>
                    <w:rPr>
                      <w:rFonts w:ascii="Arial" w:hAnsi="Arial" w:cs="Arial"/>
                      <w:sz w:val="24"/>
                      <w:szCs w:val="24"/>
                      <w:lang w:eastAsia="es-MX"/>
                    </w:rPr>
                  </w:pPr>
                </w:p>
                <w:p w:rsidR="00D40EF6" w:rsidRPr="00D40EF6" w:rsidRDefault="00B13E3D" w:rsidP="00D40EF6">
                  <w:pPr>
                    <w:pStyle w:val="Prrafodelista"/>
                    <w:numPr>
                      <w:ilvl w:val="0"/>
                      <w:numId w:val="3"/>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Agua potable, drenaje, alcantarillado, tratamiento y disposición de sus aguas residuales;  </w:t>
                  </w:r>
                </w:p>
                <w:p w:rsidR="00D40EF6" w:rsidRDefault="00B13E3D" w:rsidP="00D40EF6">
                  <w:pPr>
                    <w:pStyle w:val="Prrafodelista"/>
                    <w:numPr>
                      <w:ilvl w:val="0"/>
                      <w:numId w:val="3"/>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Alumbrado público;  </w:t>
                  </w:r>
                </w:p>
                <w:p w:rsidR="00D40EF6" w:rsidRDefault="00B13E3D" w:rsidP="00D40EF6">
                  <w:pPr>
                    <w:pStyle w:val="Prrafodelista"/>
                    <w:numPr>
                      <w:ilvl w:val="0"/>
                      <w:numId w:val="3"/>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Limpia, recolección, traslado, tratamiento y disposición final de residuos</w:t>
                  </w:r>
                </w:p>
                <w:p w:rsidR="00D40EF6" w:rsidRDefault="00B13E3D" w:rsidP="00D40EF6">
                  <w:pPr>
                    <w:pStyle w:val="Prrafodelista"/>
                    <w:numPr>
                      <w:ilvl w:val="0"/>
                      <w:numId w:val="3"/>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Mercados y centrales de abastos; </w:t>
                  </w:r>
                </w:p>
                <w:p w:rsidR="00D40EF6" w:rsidRDefault="00B13E3D" w:rsidP="00D40EF6">
                  <w:pPr>
                    <w:pStyle w:val="Prrafodelista"/>
                    <w:numPr>
                      <w:ilvl w:val="0"/>
                      <w:numId w:val="3"/>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Rastros y servicios complementarios;   </w:t>
                  </w:r>
                </w:p>
                <w:p w:rsidR="00D40EF6" w:rsidRDefault="00B13E3D" w:rsidP="00D40EF6">
                  <w:pPr>
                    <w:pStyle w:val="Prrafodelista"/>
                    <w:numPr>
                      <w:ilvl w:val="0"/>
                      <w:numId w:val="3"/>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Estacionamientos municipales;  </w:t>
                  </w:r>
                </w:p>
                <w:p w:rsidR="00D40EF6" w:rsidRDefault="00B13E3D" w:rsidP="00D40EF6">
                  <w:pPr>
                    <w:pStyle w:val="Prrafodelista"/>
                    <w:numPr>
                      <w:ilvl w:val="0"/>
                      <w:numId w:val="3"/>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Panteones;  </w:t>
                  </w:r>
                </w:p>
                <w:p w:rsidR="00D40EF6" w:rsidRDefault="00B13E3D" w:rsidP="00D40EF6">
                  <w:pPr>
                    <w:pStyle w:val="Prrafodelista"/>
                    <w:numPr>
                      <w:ilvl w:val="0"/>
                      <w:numId w:val="3"/>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Calles, parques y jardines y su equipamiento;    </w:t>
                  </w:r>
                </w:p>
                <w:p w:rsidR="00D40EF6" w:rsidRDefault="00B13E3D" w:rsidP="00D40EF6">
                  <w:pPr>
                    <w:pStyle w:val="Prrafodelista"/>
                    <w:numPr>
                      <w:ilvl w:val="0"/>
                      <w:numId w:val="3"/>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Seguridad pública, policía preventiva municipal y tránsito;   </w:t>
                  </w:r>
                </w:p>
                <w:p w:rsidR="00D40EF6" w:rsidRDefault="00B13E3D" w:rsidP="00D40EF6">
                  <w:pPr>
                    <w:pStyle w:val="Prrafodelista"/>
                    <w:numPr>
                      <w:ilvl w:val="0"/>
                      <w:numId w:val="3"/>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Centros deportivos municipales;   </w:t>
                  </w:r>
                </w:p>
                <w:p w:rsidR="00D40EF6" w:rsidRDefault="00B13E3D" w:rsidP="00D40EF6">
                  <w:pPr>
                    <w:pStyle w:val="Prrafodelista"/>
                    <w:numPr>
                      <w:ilvl w:val="0"/>
                      <w:numId w:val="3"/>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Centros culturales municipales;    </w:t>
                  </w:r>
                </w:p>
                <w:p w:rsidR="00D40EF6" w:rsidRDefault="00B13E3D" w:rsidP="00D40EF6">
                  <w:pPr>
                    <w:pStyle w:val="Prrafodelista"/>
                    <w:numPr>
                      <w:ilvl w:val="0"/>
                      <w:numId w:val="3"/>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Protección civil y bomberos; y   </w:t>
                  </w:r>
                </w:p>
                <w:p w:rsidR="00D40EF6" w:rsidRDefault="00B13E3D" w:rsidP="00D40EF6">
                  <w:pPr>
                    <w:pStyle w:val="Prrafodelista"/>
                    <w:numPr>
                      <w:ilvl w:val="0"/>
                      <w:numId w:val="3"/>
                    </w:num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Los demás que el Congreso del Estado determine en atención a las condiciones territoriales y socioeconómicas de los Municipios, así como a su capacidad administrativa y financiera.          </w:t>
                  </w:r>
                </w:p>
                <w:p w:rsidR="00D40EF6" w:rsidRDefault="00D40EF6" w:rsidP="00D40EF6">
                  <w:pPr>
                    <w:pStyle w:val="Prrafodelista"/>
                    <w:autoSpaceDE w:val="0"/>
                    <w:autoSpaceDN w:val="0"/>
                    <w:adjustRightInd w:val="0"/>
                    <w:spacing w:after="0" w:line="240" w:lineRule="auto"/>
                    <w:ind w:left="780"/>
                    <w:jc w:val="both"/>
                    <w:rPr>
                      <w:rFonts w:ascii="Arial" w:hAnsi="Arial" w:cs="Arial"/>
                      <w:sz w:val="24"/>
                      <w:szCs w:val="24"/>
                      <w:lang w:eastAsia="es-MX"/>
                    </w:rPr>
                  </w:pP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 Los recursos y procedimientos jurídicos en los que se establecen los medios de defensa a favor de los administrados, en contra de actos administrativos emitidos por la autoridad municipal, que aquellos consideren han afectado su interés jurídico, se encuentran instituidos en diversa reglamentación de este Municipio.      </w:t>
                  </w:r>
                </w:p>
                <w:p w:rsidR="00D40EF6" w:rsidRDefault="00D40EF6" w:rsidP="00D40EF6">
                  <w:pPr>
                    <w:autoSpaceDE w:val="0"/>
                    <w:autoSpaceDN w:val="0"/>
                    <w:adjustRightInd w:val="0"/>
                    <w:spacing w:after="0" w:line="240" w:lineRule="auto"/>
                    <w:jc w:val="both"/>
                    <w:rPr>
                      <w:rFonts w:ascii="Arial" w:hAnsi="Arial" w:cs="Arial"/>
                      <w:sz w:val="24"/>
                      <w:szCs w:val="24"/>
                      <w:lang w:eastAsia="es-MX"/>
                    </w:rPr>
                  </w:pP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 El ejercicio fiscal del Municipio, abarca del 1° de enero al 31 de diciembre de cada año.   Las obligaciones fiscales federales y estatales a su cargo, en su carácter de persona moral con fines no lucrativos, son básicamente las siguientes:     Federales    </w:t>
                  </w: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 </w:t>
                  </w: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 Retener y enterar el impuesto sobre la renta por las remuneraciones a sus trabajadores, así como a terceros, a quienes se paguen honorarios por servicios profesionales y arrendamientos de bienes inmuebles.      </w:t>
                  </w: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 Presentar declaraciones informativas sobre las percepciones pagadas por concepto de remuneraciones al trabajo personal subordinado y honorarios </w:t>
                  </w:r>
                  <w:r w:rsidRPr="00D40EF6">
                    <w:rPr>
                      <w:rFonts w:ascii="Arial" w:hAnsi="Arial" w:cs="Arial"/>
                      <w:sz w:val="24"/>
                      <w:szCs w:val="24"/>
                      <w:lang w:eastAsia="es-MX"/>
                    </w:rPr>
                    <w:lastRenderedPageBreak/>
                    <w:t xml:space="preserve">asimilados a salarios y las retenciones efectuadas.      </w:t>
                  </w: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Timbrar los comprobantes por concepto de pago de sueldos y honorarios asimilados a salarios, así como emitir y timbrar comprobantes que amparan los ingresos por las contribuciones recibidas.     Estatales       </w:t>
                  </w: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Retener y enterar el impuesto del 3% por pagos a personas físicas que presten servicios profesionales independientes.    Los principales fideicomisos, mandatos y contratos análogos de los cuales el Municipio de Guadalajara es fideicomitente o fideicomisario, se listan a continuación:     </w:t>
                  </w: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 </w:t>
                  </w: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Fideicomiso irrevocable para la administración de un fondo para el pago de indemnizaciones de enfermedades por riesgos de trabajo.     </w:t>
                  </w: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Fideicomiso para el desarrollo del proyecto denominado “Guadalajara Ciudad Creativa Digital”.     </w:t>
                  </w: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Fideicomiso Fondo Guadalajara de Fomento Empresarial.     </w:t>
                  </w: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Fideicomiso Puerta Guadalajara.     </w:t>
                  </w:r>
                </w:p>
                <w:p w:rsidR="00D40EF6" w:rsidRDefault="00B13E3D" w:rsidP="00D40EF6">
                  <w:pPr>
                    <w:autoSpaceDE w:val="0"/>
                    <w:autoSpaceDN w:val="0"/>
                    <w:adjustRightInd w:val="0"/>
                    <w:spacing w:after="0" w:line="240" w:lineRule="auto"/>
                    <w:jc w:val="both"/>
                    <w:rPr>
                      <w:rFonts w:ascii="Arial" w:hAnsi="Arial" w:cs="Arial"/>
                      <w:b/>
                      <w:bCs/>
                      <w:sz w:val="28"/>
                      <w:szCs w:val="28"/>
                      <w:lang w:eastAsia="es-MX"/>
                    </w:rPr>
                  </w:pP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Fideicomiso INVEX 1555.  </w:t>
                  </w: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Fideicomiso Bancomer 403248-8</w:t>
                  </w:r>
                  <w:r w:rsidRPr="00D40EF6">
                    <w:rPr>
                      <w:rFonts w:ascii="Arial" w:hAnsi="Arial" w:cs="Arial"/>
                      <w:b/>
                      <w:bCs/>
                      <w:sz w:val="28"/>
                      <w:szCs w:val="28"/>
                      <w:lang w:eastAsia="es-MX"/>
                    </w:rPr>
                    <w:t xml:space="preserve">    </w:t>
                  </w: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Fideicomiso </w:t>
                  </w:r>
                  <w:proofErr w:type="spellStart"/>
                  <w:r w:rsidRPr="00D40EF6">
                    <w:rPr>
                      <w:rFonts w:ascii="Arial" w:hAnsi="Arial" w:cs="Arial"/>
                      <w:sz w:val="24"/>
                      <w:szCs w:val="24"/>
                      <w:lang w:eastAsia="es-MX"/>
                    </w:rPr>
                    <w:t>Multiva</w:t>
                  </w:r>
                  <w:proofErr w:type="spellEnd"/>
                  <w:r w:rsidRPr="00D40EF6">
                    <w:rPr>
                      <w:rFonts w:ascii="Arial" w:hAnsi="Arial" w:cs="Arial"/>
                      <w:sz w:val="24"/>
                      <w:szCs w:val="24"/>
                      <w:lang w:eastAsia="es-MX"/>
                    </w:rPr>
                    <w:t xml:space="preserve"> 437-2         </w:t>
                  </w:r>
                </w:p>
                <w:p w:rsidR="00D40EF6" w:rsidRDefault="00D40EF6" w:rsidP="00D40EF6">
                  <w:pPr>
                    <w:autoSpaceDE w:val="0"/>
                    <w:autoSpaceDN w:val="0"/>
                    <w:adjustRightInd w:val="0"/>
                    <w:spacing w:after="0" w:line="240" w:lineRule="auto"/>
                    <w:jc w:val="both"/>
                    <w:rPr>
                      <w:rFonts w:ascii="Arial" w:hAnsi="Arial" w:cs="Arial"/>
                      <w:sz w:val="24"/>
                      <w:szCs w:val="24"/>
                      <w:lang w:eastAsia="es-MX"/>
                    </w:rPr>
                  </w:pPr>
                </w:p>
                <w:p w:rsidR="00D40EF6" w:rsidRPr="00D40EF6"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Arial" w:hAnsi="Arial" w:cs="Arial"/>
                      <w:b/>
                      <w:bCs/>
                      <w:sz w:val="24"/>
                      <w:szCs w:val="24"/>
                      <w:lang w:eastAsia="es-MX"/>
                    </w:rPr>
                    <w:t xml:space="preserve">4. </w:t>
                  </w:r>
                  <w:r w:rsidRPr="00D40EF6">
                    <w:rPr>
                      <w:rFonts w:ascii="Arial" w:hAnsi="Arial" w:cs="Arial"/>
                      <w:sz w:val="24"/>
                      <w:szCs w:val="24"/>
                      <w:lang w:eastAsia="es-MX"/>
                    </w:rPr>
                    <w:t xml:space="preserve"> </w:t>
                  </w:r>
                  <w:r w:rsidRPr="00D40EF6">
                    <w:rPr>
                      <w:rFonts w:ascii="Arial" w:hAnsi="Arial" w:cs="Arial"/>
                      <w:b/>
                      <w:bCs/>
                      <w:sz w:val="24"/>
                      <w:szCs w:val="24"/>
                      <w:lang w:eastAsia="es-MX"/>
                    </w:rPr>
                    <w:t xml:space="preserve">Bases de Preparación de los Estados Financieros  </w:t>
                  </w:r>
                  <w:r w:rsidRPr="00D40EF6">
                    <w:rPr>
                      <w:rFonts w:ascii="Arial" w:hAnsi="Arial" w:cs="Arial"/>
                      <w:sz w:val="24"/>
                      <w:szCs w:val="24"/>
                      <w:lang w:eastAsia="es-MX"/>
                    </w:rPr>
                    <w:t>Los estados financieros y presupuestarios son elaborados con base en la información que arroja el sistema de información electrónico denominado SAC (</w:t>
                  </w:r>
                  <w:r w:rsidRPr="00D40EF6">
                    <w:rPr>
                      <w:rFonts w:ascii="Arial" w:hAnsi="Arial" w:cs="Arial"/>
                      <w:b/>
                      <w:bCs/>
                      <w:sz w:val="24"/>
                      <w:szCs w:val="24"/>
                      <w:lang w:eastAsia="es-MX"/>
                    </w:rPr>
                    <w:t>Sistema de Armonización Contable),</w:t>
                  </w:r>
                  <w:r w:rsidRPr="00D40EF6">
                    <w:rPr>
                      <w:rFonts w:ascii="Arial" w:hAnsi="Arial" w:cs="Arial"/>
                      <w:sz w:val="24"/>
                      <w:szCs w:val="24"/>
                      <w:lang w:eastAsia="es-MX"/>
                    </w:rPr>
                    <w:t xml:space="preserve"> el cual procesa los datos a los que se da entrada en cada centro de registro, afectando en tiempo real y en forma simultánea, la contabilidad y el control presupuestal.      </w:t>
                  </w:r>
                </w:p>
                <w:p w:rsidR="00D40EF6" w:rsidRDefault="00D40EF6" w:rsidP="00D40EF6">
                  <w:pPr>
                    <w:autoSpaceDE w:val="0"/>
                    <w:autoSpaceDN w:val="0"/>
                    <w:adjustRightInd w:val="0"/>
                    <w:spacing w:after="0" w:line="240" w:lineRule="auto"/>
                    <w:rPr>
                      <w:rFonts w:ascii="Arial" w:hAnsi="Arial" w:cs="Arial"/>
                      <w:sz w:val="24"/>
                      <w:szCs w:val="24"/>
                      <w:lang w:eastAsia="es-MX"/>
                    </w:rPr>
                  </w:pP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Los estados financieros al 30 de Junio de 2024, fueron preparados con base en las disposiciones de la Ley General de Contabilidad Gubernamental y los acuerdos emitidos por el Consejo Nacional de Armonización Contable (CONAC), sin embargo, no se ha dado efecto a ciertos lineamientos contables cuyo efecto no se refleja en dichos estados y que se describen a continuación: </w:t>
                  </w:r>
                </w:p>
                <w:p w:rsidR="00D40EF6" w:rsidRDefault="00D40EF6" w:rsidP="00D40EF6">
                  <w:pPr>
                    <w:autoSpaceDE w:val="0"/>
                    <w:autoSpaceDN w:val="0"/>
                    <w:adjustRightInd w:val="0"/>
                    <w:spacing w:after="0" w:line="240" w:lineRule="auto"/>
                    <w:jc w:val="both"/>
                    <w:rPr>
                      <w:rFonts w:ascii="Arial" w:hAnsi="Arial" w:cs="Arial"/>
                      <w:sz w:val="24"/>
                      <w:szCs w:val="24"/>
                      <w:lang w:eastAsia="es-MX"/>
                    </w:rPr>
                  </w:pP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      a) No han sido conciliadas las existencias de los bienes muebles, inmuebles e intangibles del ente público y sus valores, determinadas como resultado de un inventario físico, contra los registrados en la contabilidad a esa misma fecha.   En su caso y en su momento, el resultado de la conciliación física-contable de dichos bienes, se reconocerán afectando las cuentas correspondientes al rubro 3.2.2 Resultados de Ejercicios Anteriores y a la cuenta del grupo Activo No Circulante correspondiente.   Las diferencias posteriores que se obtengan como resultado de dicha conciliación física-contable, se reconocerán afectando las cuentas correspondientes al rubro 3.2.3 </w:t>
                  </w:r>
                  <w:proofErr w:type="spellStart"/>
                  <w:r w:rsidRPr="00D40EF6">
                    <w:rPr>
                      <w:rFonts w:ascii="Arial" w:hAnsi="Arial" w:cs="Arial"/>
                      <w:sz w:val="24"/>
                      <w:szCs w:val="24"/>
                      <w:lang w:eastAsia="es-MX"/>
                    </w:rPr>
                    <w:t>Revalúos</w:t>
                  </w:r>
                  <w:proofErr w:type="spellEnd"/>
                  <w:r w:rsidRPr="00D40EF6">
                    <w:rPr>
                      <w:rFonts w:ascii="Arial" w:hAnsi="Arial" w:cs="Arial"/>
                      <w:sz w:val="24"/>
                      <w:szCs w:val="24"/>
                      <w:lang w:eastAsia="es-MX"/>
                    </w:rPr>
                    <w:t xml:space="preserve"> y a la cuenta del grupo Activo No Circulante correspondiente.      </w:t>
                  </w:r>
                </w:p>
                <w:p w:rsidR="00D40EF6" w:rsidRDefault="00D40EF6" w:rsidP="00D40EF6">
                  <w:pPr>
                    <w:autoSpaceDE w:val="0"/>
                    <w:autoSpaceDN w:val="0"/>
                    <w:adjustRightInd w:val="0"/>
                    <w:spacing w:after="0" w:line="240" w:lineRule="auto"/>
                    <w:jc w:val="both"/>
                    <w:rPr>
                      <w:rFonts w:ascii="Arial" w:hAnsi="Arial" w:cs="Arial"/>
                      <w:sz w:val="24"/>
                      <w:szCs w:val="24"/>
                      <w:lang w:eastAsia="es-MX"/>
                    </w:rPr>
                  </w:pPr>
                </w:p>
                <w:p w:rsidR="00D40EF6" w:rsidRDefault="00B13E3D" w:rsidP="00D40EF6">
                  <w:pPr>
                    <w:autoSpaceDE w:val="0"/>
                    <w:autoSpaceDN w:val="0"/>
                    <w:adjustRightInd w:val="0"/>
                    <w:spacing w:after="0" w:line="240" w:lineRule="auto"/>
                    <w:jc w:val="both"/>
                    <w:rPr>
                      <w:rFonts w:ascii="Arial" w:hAnsi="Arial" w:cs="Arial"/>
                      <w:sz w:val="24"/>
                      <w:szCs w:val="24"/>
                      <w:lang w:eastAsia="es-MX"/>
                    </w:rPr>
                  </w:pPr>
                  <w:r w:rsidRPr="00D40EF6">
                    <w:rPr>
                      <w:rFonts w:ascii="Arial" w:hAnsi="Arial" w:cs="Arial"/>
                      <w:sz w:val="24"/>
                      <w:szCs w:val="24"/>
                      <w:lang w:eastAsia="es-MX"/>
                    </w:rPr>
                    <w:t xml:space="preserve">b) No está registrada contablemente, la depreciación de los bienes muebles e inmuebles capitalizados, ni la amortización de los activos intangibles, en virtud de lo mencionado en el inciso anterior y a que no se les ha asignado una vida útil estimada a los activos.      </w:t>
                  </w:r>
                </w:p>
                <w:p w:rsidR="00D40EF6" w:rsidRDefault="00D40EF6" w:rsidP="00D40EF6">
                  <w:pPr>
                    <w:autoSpaceDE w:val="0"/>
                    <w:autoSpaceDN w:val="0"/>
                    <w:adjustRightInd w:val="0"/>
                    <w:spacing w:after="0" w:line="240" w:lineRule="auto"/>
                    <w:jc w:val="both"/>
                    <w:rPr>
                      <w:rFonts w:ascii="Arial" w:hAnsi="Arial" w:cs="Arial"/>
                      <w:sz w:val="24"/>
                      <w:szCs w:val="24"/>
                      <w:lang w:eastAsia="es-MX"/>
                    </w:rPr>
                  </w:pPr>
                </w:p>
                <w:p w:rsidR="00D40EF6"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Arial" w:hAnsi="Arial" w:cs="Arial"/>
                      <w:sz w:val="24"/>
                      <w:szCs w:val="24"/>
                      <w:lang w:eastAsia="es-MX"/>
                    </w:rPr>
                    <w:lastRenderedPageBreak/>
                    <w:t>c) Las disposiciones establecidas en el acuerdo emitido por el CONAC bajo el título “</w:t>
                  </w:r>
                  <w:r w:rsidRPr="00D40EF6">
                    <w:rPr>
                      <w:rFonts w:ascii="Arial" w:hAnsi="Arial" w:cs="Arial"/>
                      <w:i/>
                      <w:iCs/>
                      <w:sz w:val="24"/>
                      <w:szCs w:val="24"/>
                      <w:lang w:eastAsia="es-MX"/>
                    </w:rPr>
                    <w:t>Lineamientos que deberán observar los entes públicos para registrar en las cuentas de activo los fideicomisos sin estructura orgánica y contratos análogos, incluyendo mandatos”</w:t>
                  </w:r>
                  <w:r w:rsidRPr="00D40EF6">
                    <w:rPr>
                      <w:rFonts w:ascii="Arial" w:hAnsi="Arial" w:cs="Arial"/>
                      <w:sz w:val="24"/>
                      <w:szCs w:val="24"/>
                      <w:lang w:eastAsia="es-MX"/>
                    </w:rPr>
                    <w:t xml:space="preserve">, han sido parcialmente adoptadas, por lo que no en todos los casos está reconocido contablemente, el efecto inicial de los recursos públicos otorgados por el Municipio a los fideicomisos o contratos análogos, desde su creación, así como, en su caso, los activos adquiridos, o los gastos efectuados con los mismos.      </w:t>
                  </w:r>
                </w:p>
                <w:p w:rsidR="00D40EF6" w:rsidRDefault="00D40EF6" w:rsidP="00D40EF6">
                  <w:pPr>
                    <w:autoSpaceDE w:val="0"/>
                    <w:autoSpaceDN w:val="0"/>
                    <w:adjustRightInd w:val="0"/>
                    <w:spacing w:after="0" w:line="240" w:lineRule="auto"/>
                    <w:rPr>
                      <w:rFonts w:ascii="Arial" w:hAnsi="Arial" w:cs="Arial"/>
                      <w:sz w:val="24"/>
                      <w:szCs w:val="24"/>
                      <w:lang w:eastAsia="es-MX"/>
                    </w:rPr>
                  </w:pPr>
                </w:p>
                <w:p w:rsidR="00D40EF6"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Arial" w:hAnsi="Arial" w:cs="Arial"/>
                      <w:sz w:val="24"/>
                      <w:szCs w:val="24"/>
                      <w:lang w:eastAsia="es-MX"/>
                    </w:rPr>
                    <w:t xml:space="preserve">d) No se han contabilizado las bajas de bienes muebles e inmuebles que previamente habían sido registrados como activos no circulantes.      </w:t>
                  </w:r>
                </w:p>
                <w:p w:rsidR="00D40EF6" w:rsidRDefault="00D40EF6" w:rsidP="00D40EF6">
                  <w:pPr>
                    <w:autoSpaceDE w:val="0"/>
                    <w:autoSpaceDN w:val="0"/>
                    <w:adjustRightInd w:val="0"/>
                    <w:spacing w:after="0" w:line="240" w:lineRule="auto"/>
                    <w:rPr>
                      <w:rFonts w:ascii="Arial" w:hAnsi="Arial" w:cs="Arial"/>
                      <w:sz w:val="24"/>
                      <w:szCs w:val="24"/>
                      <w:lang w:eastAsia="es-MX"/>
                    </w:rPr>
                  </w:pPr>
                </w:p>
                <w:p w:rsidR="00D40EF6"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Arial" w:hAnsi="Arial" w:cs="Arial"/>
                      <w:sz w:val="24"/>
                      <w:szCs w:val="24"/>
                      <w:lang w:eastAsia="es-MX"/>
                    </w:rPr>
                    <w:t xml:space="preserve">e) No se tienen registradas provisiones de pasivo derivadas de contingencias, debido a las limitaciones para su cuantificación confiable.       </w:t>
                  </w:r>
                </w:p>
                <w:p w:rsidR="00D40EF6" w:rsidRDefault="00D40EF6" w:rsidP="00D40EF6">
                  <w:pPr>
                    <w:autoSpaceDE w:val="0"/>
                    <w:autoSpaceDN w:val="0"/>
                    <w:adjustRightInd w:val="0"/>
                    <w:spacing w:after="0" w:line="240" w:lineRule="auto"/>
                    <w:rPr>
                      <w:rFonts w:ascii="Arial" w:hAnsi="Arial" w:cs="Arial"/>
                      <w:sz w:val="24"/>
                      <w:szCs w:val="24"/>
                      <w:lang w:eastAsia="es-MX"/>
                    </w:rPr>
                  </w:pPr>
                </w:p>
                <w:p w:rsidR="00D40EF6"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Arial" w:hAnsi="Arial" w:cs="Arial"/>
                      <w:sz w:val="24"/>
                      <w:szCs w:val="24"/>
                      <w:lang w:eastAsia="es-MX"/>
                    </w:rPr>
                    <w:t xml:space="preserve">   De conformidad con el acuerdo del CONAC emitido el 8 de agosto de 2013, se estableció como criterio para el tratamiento contable de los ingresos, el que estos fueran registrados simultáneamente como devengados y recaudados, en el momento en que se perciba el recurso, o en su caso se efectúe la compensación, con excepción de los ingresos por venta de bienes y servicios, respecto de los cuales se consideran devengados al emitir las facturas o conforme a las condiciones pactadas y se reconocen como recaudados al percibir el ingreso correspondiente. sin embargo, el 20 de diciembre de 2016, fue publicada en el Diario Oficial de la Federación, una modificación a las Normas y Metodología para la Determinación de los Momentos Contables de los Ingresos, consistente en reconocer el devengado de los Ingresos por Venta de Bienes y Servicios, Diversos y no Inherentes a la Operación, hasta su percepción.   </w:t>
                  </w:r>
                </w:p>
                <w:p w:rsidR="00D40EF6" w:rsidRDefault="00D40EF6" w:rsidP="00D40EF6">
                  <w:pPr>
                    <w:autoSpaceDE w:val="0"/>
                    <w:autoSpaceDN w:val="0"/>
                    <w:adjustRightInd w:val="0"/>
                    <w:spacing w:after="0" w:line="240" w:lineRule="auto"/>
                    <w:rPr>
                      <w:rFonts w:ascii="Arial" w:hAnsi="Arial" w:cs="Arial"/>
                      <w:sz w:val="24"/>
                      <w:szCs w:val="24"/>
                      <w:lang w:eastAsia="es-MX"/>
                    </w:rPr>
                  </w:pPr>
                </w:p>
                <w:p w:rsidR="00D40EF6"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Arial" w:hAnsi="Arial" w:cs="Arial"/>
                      <w:sz w:val="24"/>
                      <w:szCs w:val="24"/>
                      <w:lang w:eastAsia="es-MX"/>
                    </w:rPr>
                    <w:t xml:space="preserve">En diciembre de 2017 se publicó una modificación, consistente en que los Ingresos por Venta de Bienes y Servicios, para el caso de pago en parcialidades o diferido, se deberá registrar el ingreso devengado a la emisión del Comprobante Fiscal y el ingreso recaudado a la generación del recibo electrónico de pago, es decir, a la percepción del recurso; esta disposición entró en vigor el 1° de enero de 2018.          </w:t>
                  </w:r>
                  <w:r w:rsidRPr="00D40EF6">
                    <w:rPr>
                      <w:rFonts w:ascii="Arial" w:hAnsi="Arial" w:cs="Arial"/>
                      <w:b/>
                      <w:bCs/>
                      <w:sz w:val="24"/>
                      <w:szCs w:val="24"/>
                      <w:lang w:eastAsia="es-MX"/>
                    </w:rPr>
                    <w:t xml:space="preserve">  </w:t>
                  </w:r>
                </w:p>
                <w:p w:rsidR="00D40EF6" w:rsidRDefault="00D40EF6" w:rsidP="00D40EF6">
                  <w:pPr>
                    <w:autoSpaceDE w:val="0"/>
                    <w:autoSpaceDN w:val="0"/>
                    <w:adjustRightInd w:val="0"/>
                    <w:spacing w:after="0" w:line="240" w:lineRule="auto"/>
                    <w:rPr>
                      <w:rFonts w:ascii="Arial" w:hAnsi="Arial" w:cs="Arial"/>
                      <w:b/>
                      <w:bCs/>
                      <w:sz w:val="24"/>
                      <w:szCs w:val="24"/>
                      <w:lang w:eastAsia="es-MX"/>
                    </w:rPr>
                  </w:pPr>
                </w:p>
                <w:p w:rsidR="00D40EF6"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Arial" w:hAnsi="Arial" w:cs="Arial"/>
                      <w:sz w:val="24"/>
                      <w:szCs w:val="24"/>
                      <w:lang w:eastAsia="es-MX"/>
                    </w:rPr>
                    <w:t xml:space="preserve">El marco conceptual de la contabilidad y los postulados básicos adoptados por el Municipio, corresponden a los establecidos por la Ley General de Contabilidad y diversos acuerdos del CONAC, siendo dichos postulados, los que se definen a continuación:    </w:t>
                  </w:r>
                  <w:r w:rsidRPr="00D40EF6">
                    <w:rPr>
                      <w:rFonts w:ascii="Arial" w:hAnsi="Arial" w:cs="Arial"/>
                      <w:b/>
                      <w:bCs/>
                      <w:sz w:val="24"/>
                      <w:szCs w:val="24"/>
                      <w:lang w:eastAsia="es-MX"/>
                    </w:rPr>
                    <w:t xml:space="preserve">   </w:t>
                  </w:r>
                </w:p>
                <w:p w:rsidR="00D40EF6" w:rsidRDefault="00D40EF6" w:rsidP="00D40EF6">
                  <w:pPr>
                    <w:autoSpaceDE w:val="0"/>
                    <w:autoSpaceDN w:val="0"/>
                    <w:adjustRightInd w:val="0"/>
                    <w:spacing w:after="0" w:line="240" w:lineRule="auto"/>
                    <w:rPr>
                      <w:rFonts w:ascii="Arial" w:hAnsi="Arial" w:cs="Arial"/>
                      <w:b/>
                      <w:bCs/>
                      <w:sz w:val="24"/>
                      <w:szCs w:val="24"/>
                      <w:lang w:eastAsia="es-MX"/>
                    </w:rPr>
                  </w:pPr>
                </w:p>
                <w:p w:rsidR="00D40EF6"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Arial" w:hAnsi="Arial" w:cs="Arial"/>
                      <w:b/>
                      <w:bCs/>
                      <w:sz w:val="24"/>
                      <w:szCs w:val="24"/>
                      <w:lang w:eastAsia="es-MX"/>
                    </w:rPr>
                    <w:t>1</w:t>
                  </w:r>
                  <w:r w:rsidRPr="00D40EF6">
                    <w:rPr>
                      <w:rFonts w:ascii="Arial" w:hAnsi="Arial" w:cs="Arial"/>
                      <w:b/>
                      <w:bCs/>
                      <w:lang w:eastAsia="es-MX"/>
                    </w:rPr>
                    <w:t xml:space="preserve">) SUSTANCIA ECONOMICA </w:t>
                  </w:r>
                  <w:r w:rsidRPr="00D40EF6">
                    <w:rPr>
                      <w:rFonts w:ascii="Arial" w:hAnsi="Arial" w:cs="Arial"/>
                      <w:sz w:val="24"/>
                      <w:szCs w:val="24"/>
                      <w:lang w:eastAsia="es-MX"/>
                    </w:rPr>
                    <w:t xml:space="preserve"> Es el reconocimiento contable de las transacciones, transformaciones internas y otros eventos, que afectan económicamente al ente público y delimitan la operación del Sistema de Contabilidad Gubernamental (SCG).    </w:t>
                  </w:r>
                  <w:r w:rsidRPr="00D40EF6">
                    <w:rPr>
                      <w:rFonts w:ascii="Arial" w:hAnsi="Arial" w:cs="Arial"/>
                      <w:b/>
                      <w:bCs/>
                      <w:sz w:val="24"/>
                      <w:szCs w:val="24"/>
                      <w:lang w:eastAsia="es-MX"/>
                    </w:rPr>
                    <w:t xml:space="preserve">  </w:t>
                  </w:r>
                </w:p>
                <w:p w:rsidR="00D40EF6" w:rsidRDefault="00D40EF6" w:rsidP="00D40EF6">
                  <w:pPr>
                    <w:autoSpaceDE w:val="0"/>
                    <w:autoSpaceDN w:val="0"/>
                    <w:adjustRightInd w:val="0"/>
                    <w:spacing w:after="0" w:line="240" w:lineRule="auto"/>
                    <w:rPr>
                      <w:rFonts w:ascii="Arial" w:hAnsi="Arial" w:cs="Arial"/>
                      <w:b/>
                      <w:bCs/>
                      <w:sz w:val="24"/>
                      <w:szCs w:val="24"/>
                      <w:lang w:eastAsia="es-MX"/>
                    </w:rPr>
                  </w:pPr>
                </w:p>
                <w:p w:rsidR="00D40EF6"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Arial" w:hAnsi="Arial" w:cs="Arial"/>
                      <w:b/>
                      <w:bCs/>
                      <w:sz w:val="24"/>
                      <w:szCs w:val="24"/>
                      <w:lang w:eastAsia="es-MX"/>
                    </w:rPr>
                    <w:lastRenderedPageBreak/>
                    <w:t xml:space="preserve"> 2) </w:t>
                  </w:r>
                  <w:r w:rsidRPr="00D40EF6">
                    <w:rPr>
                      <w:rFonts w:ascii="Arial" w:hAnsi="Arial" w:cs="Arial"/>
                      <w:b/>
                      <w:bCs/>
                      <w:lang w:eastAsia="es-MX"/>
                    </w:rPr>
                    <w:t xml:space="preserve">ENTES PUBLICOS </w:t>
                  </w:r>
                  <w:r w:rsidRPr="00D40EF6">
                    <w:rPr>
                      <w:rFonts w:ascii="Arial" w:hAnsi="Arial" w:cs="Arial"/>
                      <w:sz w:val="24"/>
                      <w:szCs w:val="24"/>
                      <w:lang w:eastAsia="es-MX"/>
                    </w:rPr>
                    <w:t xml:space="preserve">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    </w:t>
                  </w:r>
                  <w:r w:rsidRPr="00D40EF6">
                    <w:rPr>
                      <w:rFonts w:ascii="Arial" w:hAnsi="Arial" w:cs="Arial"/>
                      <w:b/>
                      <w:bCs/>
                      <w:sz w:val="24"/>
                      <w:szCs w:val="24"/>
                      <w:lang w:eastAsia="es-MX"/>
                    </w:rPr>
                    <w:t xml:space="preserve">  </w:t>
                  </w:r>
                </w:p>
                <w:p w:rsidR="00D40EF6" w:rsidRDefault="00D40EF6" w:rsidP="00D40EF6">
                  <w:pPr>
                    <w:autoSpaceDE w:val="0"/>
                    <w:autoSpaceDN w:val="0"/>
                    <w:adjustRightInd w:val="0"/>
                    <w:spacing w:after="0" w:line="240" w:lineRule="auto"/>
                    <w:rPr>
                      <w:rFonts w:ascii="Arial" w:hAnsi="Arial" w:cs="Arial"/>
                      <w:b/>
                      <w:bCs/>
                      <w:sz w:val="24"/>
                      <w:szCs w:val="24"/>
                      <w:lang w:eastAsia="es-MX"/>
                    </w:rPr>
                  </w:pPr>
                </w:p>
                <w:p w:rsidR="00D40EF6"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Arial" w:hAnsi="Arial" w:cs="Arial"/>
                      <w:b/>
                      <w:bCs/>
                      <w:lang w:eastAsia="es-MX"/>
                    </w:rPr>
                    <w:t xml:space="preserve"> 3) EXISTENCIA PERMANENTE </w:t>
                  </w:r>
                  <w:r w:rsidRPr="00D40EF6">
                    <w:rPr>
                      <w:rFonts w:ascii="Arial" w:hAnsi="Arial" w:cs="Arial"/>
                      <w:lang w:eastAsia="es-MX"/>
                    </w:rPr>
                    <w:t xml:space="preserve"> </w:t>
                  </w:r>
                  <w:r w:rsidRPr="00D40EF6">
                    <w:rPr>
                      <w:rFonts w:ascii="Arial" w:hAnsi="Arial" w:cs="Arial"/>
                      <w:sz w:val="24"/>
                      <w:szCs w:val="24"/>
                      <w:lang w:eastAsia="es-MX"/>
                    </w:rPr>
                    <w:t xml:space="preserve">La actividad del ente público se establece por tiempo indefinido, salvo disposición legal en la que se especifique lo contrario.   </w:t>
                  </w:r>
                  <w:r w:rsidRPr="00D40EF6">
                    <w:rPr>
                      <w:rFonts w:ascii="Arial" w:hAnsi="Arial" w:cs="Arial"/>
                      <w:b/>
                      <w:bCs/>
                      <w:sz w:val="24"/>
                      <w:szCs w:val="24"/>
                      <w:lang w:eastAsia="es-MX"/>
                    </w:rPr>
                    <w:t xml:space="preserve">   </w:t>
                  </w:r>
                </w:p>
                <w:p w:rsidR="00D40EF6" w:rsidRDefault="00D40EF6" w:rsidP="00D40EF6">
                  <w:pPr>
                    <w:autoSpaceDE w:val="0"/>
                    <w:autoSpaceDN w:val="0"/>
                    <w:adjustRightInd w:val="0"/>
                    <w:spacing w:after="0" w:line="240" w:lineRule="auto"/>
                    <w:rPr>
                      <w:rFonts w:ascii="Arial" w:hAnsi="Arial" w:cs="Arial"/>
                      <w:b/>
                      <w:bCs/>
                      <w:sz w:val="24"/>
                      <w:szCs w:val="24"/>
                      <w:lang w:eastAsia="es-MX"/>
                    </w:rPr>
                  </w:pPr>
                </w:p>
                <w:p w:rsidR="00D40EF6"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Arial" w:hAnsi="Arial" w:cs="Arial"/>
                      <w:b/>
                      <w:bCs/>
                      <w:sz w:val="24"/>
                      <w:szCs w:val="24"/>
                      <w:lang w:eastAsia="es-MX"/>
                    </w:rPr>
                    <w:t>4</w:t>
                  </w:r>
                  <w:r w:rsidRPr="00D40EF6">
                    <w:rPr>
                      <w:rFonts w:ascii="Arial" w:hAnsi="Arial" w:cs="Arial"/>
                      <w:b/>
                      <w:bCs/>
                      <w:lang w:eastAsia="es-MX"/>
                    </w:rPr>
                    <w:t xml:space="preserve">) REVELACION SUFICIENTE </w:t>
                  </w:r>
                  <w:r w:rsidRPr="00D40EF6">
                    <w:rPr>
                      <w:rFonts w:ascii="Arial" w:hAnsi="Arial" w:cs="Arial"/>
                      <w:sz w:val="24"/>
                      <w:szCs w:val="24"/>
                      <w:lang w:eastAsia="es-MX"/>
                    </w:rPr>
                    <w:t xml:space="preserve"> Los estados y la información financiera deben mostrar amplia y claramente la situación financiera y los resultados del ente público.     </w:t>
                  </w:r>
                </w:p>
                <w:p w:rsidR="00D40EF6" w:rsidRDefault="00D40EF6" w:rsidP="00D40EF6">
                  <w:pPr>
                    <w:autoSpaceDE w:val="0"/>
                    <w:autoSpaceDN w:val="0"/>
                    <w:adjustRightInd w:val="0"/>
                    <w:spacing w:after="0" w:line="240" w:lineRule="auto"/>
                    <w:rPr>
                      <w:rFonts w:ascii="Arial" w:hAnsi="Arial" w:cs="Arial"/>
                      <w:sz w:val="24"/>
                      <w:szCs w:val="24"/>
                      <w:lang w:eastAsia="es-MX"/>
                    </w:rPr>
                  </w:pPr>
                </w:p>
                <w:p w:rsidR="00D40EF6"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Arial" w:hAnsi="Arial" w:cs="Arial"/>
                      <w:b/>
                      <w:bCs/>
                      <w:sz w:val="24"/>
                      <w:szCs w:val="24"/>
                      <w:lang w:eastAsia="es-MX"/>
                    </w:rPr>
                    <w:t xml:space="preserve"> 5) </w:t>
                  </w:r>
                  <w:r w:rsidRPr="00D40EF6">
                    <w:rPr>
                      <w:rFonts w:ascii="Arial" w:hAnsi="Arial" w:cs="Arial"/>
                      <w:b/>
                      <w:bCs/>
                      <w:lang w:eastAsia="es-MX"/>
                    </w:rPr>
                    <w:t xml:space="preserve">IMPORTANCIA RELATIVA </w:t>
                  </w:r>
                  <w:r w:rsidRPr="00D40EF6">
                    <w:rPr>
                      <w:rFonts w:ascii="Arial" w:hAnsi="Arial" w:cs="Arial"/>
                      <w:sz w:val="24"/>
                      <w:szCs w:val="24"/>
                      <w:lang w:eastAsia="es-MX"/>
                    </w:rPr>
                    <w:t xml:space="preserve"> La información debe mostrar los aspectos importantes de la entidad que fueron reconocidos contablemente.    </w:t>
                  </w:r>
                  <w:r w:rsidRPr="00D40EF6">
                    <w:rPr>
                      <w:rFonts w:ascii="Arial" w:hAnsi="Arial" w:cs="Arial"/>
                      <w:b/>
                      <w:bCs/>
                      <w:sz w:val="24"/>
                      <w:szCs w:val="24"/>
                      <w:lang w:eastAsia="es-MX"/>
                    </w:rPr>
                    <w:t xml:space="preserve">   </w:t>
                  </w:r>
                </w:p>
                <w:p w:rsidR="00D40EF6" w:rsidRDefault="00D40EF6" w:rsidP="00D40EF6">
                  <w:pPr>
                    <w:autoSpaceDE w:val="0"/>
                    <w:autoSpaceDN w:val="0"/>
                    <w:adjustRightInd w:val="0"/>
                    <w:spacing w:after="0" w:line="240" w:lineRule="auto"/>
                    <w:rPr>
                      <w:rFonts w:ascii="Arial" w:hAnsi="Arial" w:cs="Arial"/>
                      <w:b/>
                      <w:bCs/>
                      <w:sz w:val="24"/>
                      <w:szCs w:val="24"/>
                      <w:lang w:eastAsia="es-MX"/>
                    </w:rPr>
                  </w:pPr>
                </w:p>
                <w:p w:rsidR="00D40EF6" w:rsidRDefault="00B13E3D" w:rsidP="00D40EF6">
                  <w:pPr>
                    <w:autoSpaceDE w:val="0"/>
                    <w:autoSpaceDN w:val="0"/>
                    <w:adjustRightInd w:val="0"/>
                    <w:spacing w:after="0" w:line="240" w:lineRule="auto"/>
                    <w:rPr>
                      <w:rFonts w:ascii="Arial" w:hAnsi="Arial" w:cs="Arial"/>
                      <w:b/>
                      <w:bCs/>
                      <w:lang w:eastAsia="es-MX"/>
                    </w:rPr>
                  </w:pPr>
                  <w:r w:rsidRPr="00D40EF6">
                    <w:rPr>
                      <w:rFonts w:ascii="Arial" w:hAnsi="Arial" w:cs="Arial"/>
                      <w:b/>
                      <w:bCs/>
                      <w:sz w:val="24"/>
                      <w:szCs w:val="24"/>
                      <w:lang w:eastAsia="es-MX"/>
                    </w:rPr>
                    <w:t xml:space="preserve">6) </w:t>
                  </w:r>
                  <w:r w:rsidRPr="00D40EF6">
                    <w:rPr>
                      <w:rFonts w:ascii="Arial" w:hAnsi="Arial" w:cs="Arial"/>
                      <w:b/>
                      <w:bCs/>
                      <w:lang w:eastAsia="es-MX"/>
                    </w:rPr>
                    <w:t xml:space="preserve">REGISTRO E INTEGRACION PRESUPUESTARIA </w:t>
                  </w:r>
                  <w:r w:rsidRPr="00D40EF6">
                    <w:rPr>
                      <w:rFonts w:ascii="Arial" w:hAnsi="Arial" w:cs="Arial"/>
                      <w:sz w:val="24"/>
                      <w:szCs w:val="24"/>
                      <w:lang w:eastAsia="es-MX"/>
                    </w:rPr>
                    <w:t xml:space="preserve"> La información presupuestaria de los entes públicos se integra en la contabilidad en los mismos términos que se presentan en la ley de Ingresos y en el Decreto del Presupuesto Egresos, de acuerdo a la naturaleza económica que le corresponda. El registro presupuestario del ingreso y del egreso en los entes públicos se debe reflejar en la contabilidad, considerando sus efectos patrimoniales y su vinculación con las etapas presupuestarias correspondientes.  </w:t>
                  </w:r>
                  <w:r w:rsidRPr="00D40EF6">
                    <w:rPr>
                      <w:rFonts w:ascii="Arial" w:hAnsi="Arial" w:cs="Arial"/>
                      <w:b/>
                      <w:bCs/>
                      <w:lang w:eastAsia="es-MX"/>
                    </w:rPr>
                    <w:t xml:space="preserve">     </w:t>
                  </w:r>
                </w:p>
                <w:p w:rsidR="00D40EF6" w:rsidRDefault="00D40EF6" w:rsidP="00D40EF6">
                  <w:pPr>
                    <w:autoSpaceDE w:val="0"/>
                    <w:autoSpaceDN w:val="0"/>
                    <w:adjustRightInd w:val="0"/>
                    <w:spacing w:after="0" w:line="240" w:lineRule="auto"/>
                    <w:rPr>
                      <w:rFonts w:ascii="Arial" w:hAnsi="Arial" w:cs="Arial"/>
                      <w:b/>
                      <w:bCs/>
                      <w:lang w:eastAsia="es-MX"/>
                    </w:rPr>
                  </w:pPr>
                </w:p>
                <w:p w:rsidR="00D40EF6"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Arial" w:hAnsi="Arial" w:cs="Arial"/>
                      <w:b/>
                      <w:bCs/>
                      <w:lang w:eastAsia="es-MX"/>
                    </w:rPr>
                    <w:t xml:space="preserve">7) CONSOLIDACION DE LA INFORMACION FINANCIERA </w:t>
                  </w:r>
                  <w:r w:rsidRPr="00D40EF6">
                    <w:rPr>
                      <w:rFonts w:ascii="Arial" w:hAnsi="Arial" w:cs="Arial"/>
                      <w:lang w:eastAsia="es-MX"/>
                    </w:rPr>
                    <w:t xml:space="preserve"> </w:t>
                  </w:r>
                  <w:r w:rsidRPr="00D40EF6">
                    <w:rPr>
                      <w:rFonts w:ascii="Arial" w:hAnsi="Arial" w:cs="Arial"/>
                      <w:sz w:val="24"/>
                      <w:szCs w:val="24"/>
                      <w:lang w:eastAsia="es-MX"/>
                    </w:rPr>
                    <w:t xml:space="preserve">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      </w:t>
                  </w:r>
                  <w:r w:rsidRPr="00D40EF6">
                    <w:rPr>
                      <w:rFonts w:ascii="Arial" w:hAnsi="Arial" w:cs="Arial"/>
                      <w:b/>
                      <w:bCs/>
                      <w:sz w:val="24"/>
                      <w:szCs w:val="24"/>
                      <w:lang w:eastAsia="es-MX"/>
                    </w:rPr>
                    <w:t xml:space="preserve"> </w:t>
                  </w:r>
                </w:p>
                <w:p w:rsidR="00D40EF6" w:rsidRDefault="00D40EF6" w:rsidP="00D40EF6">
                  <w:pPr>
                    <w:autoSpaceDE w:val="0"/>
                    <w:autoSpaceDN w:val="0"/>
                    <w:adjustRightInd w:val="0"/>
                    <w:spacing w:after="0" w:line="240" w:lineRule="auto"/>
                    <w:rPr>
                      <w:rFonts w:ascii="Arial" w:hAnsi="Arial" w:cs="Arial"/>
                      <w:b/>
                      <w:bCs/>
                      <w:sz w:val="24"/>
                      <w:szCs w:val="24"/>
                      <w:lang w:eastAsia="es-MX"/>
                    </w:rPr>
                  </w:pPr>
                </w:p>
                <w:p w:rsidR="00D40EF6" w:rsidRDefault="00B13E3D" w:rsidP="00D40EF6">
                  <w:pPr>
                    <w:autoSpaceDE w:val="0"/>
                    <w:autoSpaceDN w:val="0"/>
                    <w:adjustRightInd w:val="0"/>
                    <w:spacing w:after="0" w:line="240" w:lineRule="auto"/>
                    <w:rPr>
                      <w:rFonts w:ascii="Arial" w:hAnsi="Arial" w:cs="Arial"/>
                      <w:b/>
                      <w:bCs/>
                      <w:lang w:eastAsia="es-MX"/>
                    </w:rPr>
                  </w:pPr>
                  <w:r w:rsidRPr="00D40EF6">
                    <w:rPr>
                      <w:rFonts w:ascii="Arial" w:hAnsi="Arial" w:cs="Arial"/>
                      <w:b/>
                      <w:bCs/>
                      <w:sz w:val="24"/>
                      <w:szCs w:val="24"/>
                      <w:lang w:eastAsia="es-MX"/>
                    </w:rPr>
                    <w:t xml:space="preserve">8) </w:t>
                  </w:r>
                  <w:r w:rsidRPr="00D40EF6">
                    <w:rPr>
                      <w:rFonts w:ascii="Arial" w:hAnsi="Arial" w:cs="Arial"/>
                      <w:b/>
                      <w:bCs/>
                      <w:lang w:eastAsia="es-MX"/>
                    </w:rPr>
                    <w:t xml:space="preserve">DEVENGO CONTABLE </w:t>
                  </w:r>
                  <w:r w:rsidRPr="00D40EF6">
                    <w:rPr>
                      <w:rFonts w:ascii="Arial" w:hAnsi="Arial" w:cs="Arial"/>
                      <w:sz w:val="24"/>
                      <w:szCs w:val="24"/>
                      <w:lang w:eastAsia="es-MX"/>
                    </w:rPr>
                    <w:t xml:space="preserv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  </w:t>
                  </w:r>
                  <w:r w:rsidRPr="00D40EF6">
                    <w:rPr>
                      <w:rFonts w:ascii="Arial" w:hAnsi="Arial" w:cs="Arial"/>
                      <w:b/>
                      <w:bCs/>
                      <w:lang w:eastAsia="es-MX"/>
                    </w:rPr>
                    <w:t xml:space="preserve">    </w:t>
                  </w:r>
                </w:p>
                <w:p w:rsidR="00D40EF6" w:rsidRDefault="00D40EF6" w:rsidP="00D40EF6">
                  <w:pPr>
                    <w:autoSpaceDE w:val="0"/>
                    <w:autoSpaceDN w:val="0"/>
                    <w:adjustRightInd w:val="0"/>
                    <w:spacing w:after="0" w:line="240" w:lineRule="auto"/>
                    <w:rPr>
                      <w:rFonts w:ascii="Arial" w:hAnsi="Arial" w:cs="Arial"/>
                      <w:b/>
                      <w:bCs/>
                      <w:lang w:eastAsia="es-MX"/>
                    </w:rPr>
                  </w:pPr>
                </w:p>
                <w:p w:rsidR="00A83A65"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Arial" w:hAnsi="Arial" w:cs="Arial"/>
                      <w:b/>
                      <w:bCs/>
                      <w:lang w:eastAsia="es-MX"/>
                    </w:rPr>
                    <w:t xml:space="preserve"> 9) VALUACION </w:t>
                  </w:r>
                  <w:r w:rsidRPr="00D40EF6">
                    <w:rPr>
                      <w:rFonts w:ascii="Arial" w:hAnsi="Arial" w:cs="Arial"/>
                      <w:lang w:eastAsia="es-MX"/>
                    </w:rPr>
                    <w:t xml:space="preserve"> </w:t>
                  </w:r>
                  <w:r w:rsidRPr="00D40EF6">
                    <w:rPr>
                      <w:rFonts w:ascii="Arial" w:hAnsi="Arial" w:cs="Arial"/>
                      <w:sz w:val="24"/>
                      <w:szCs w:val="24"/>
                      <w:lang w:eastAsia="es-MX"/>
                    </w:rPr>
                    <w:t>Todos los eventos que afecten económicamente al ente público deben ser cuantificados en términos monetarios y se registrarán al costo histórico o al valor económico más objetivo registrándose en moneda nacional.</w:t>
                  </w:r>
                </w:p>
                <w:p w:rsidR="00A83A65" w:rsidRDefault="00A83A65" w:rsidP="00D40EF6">
                  <w:pPr>
                    <w:autoSpaceDE w:val="0"/>
                    <w:autoSpaceDN w:val="0"/>
                    <w:adjustRightInd w:val="0"/>
                    <w:spacing w:after="0" w:line="240" w:lineRule="auto"/>
                    <w:rPr>
                      <w:rFonts w:ascii="Arial" w:hAnsi="Arial" w:cs="Arial"/>
                      <w:sz w:val="24"/>
                      <w:szCs w:val="24"/>
                      <w:lang w:eastAsia="es-MX"/>
                    </w:rPr>
                  </w:pPr>
                </w:p>
                <w:p w:rsidR="00A83A65"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Arial" w:hAnsi="Arial" w:cs="Arial"/>
                      <w:sz w:val="24"/>
                      <w:szCs w:val="24"/>
                      <w:lang w:eastAsia="es-MX"/>
                    </w:rPr>
                    <w:t xml:space="preserve">  </w:t>
                  </w:r>
                  <w:r w:rsidRPr="00D40EF6">
                    <w:rPr>
                      <w:rFonts w:ascii="Arial" w:hAnsi="Arial" w:cs="Arial"/>
                      <w:b/>
                      <w:bCs/>
                      <w:sz w:val="24"/>
                      <w:szCs w:val="24"/>
                      <w:lang w:eastAsia="es-MX"/>
                    </w:rPr>
                    <w:t xml:space="preserve">     </w:t>
                  </w: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Arial" w:hAnsi="Arial" w:cs="Arial"/>
                      <w:b/>
                      <w:bCs/>
                      <w:sz w:val="24"/>
                      <w:szCs w:val="24"/>
                      <w:lang w:eastAsia="es-MX"/>
                    </w:rPr>
                    <w:t xml:space="preserve">10) </w:t>
                  </w:r>
                  <w:r w:rsidRPr="00D40EF6">
                    <w:rPr>
                      <w:rFonts w:ascii="Arial" w:hAnsi="Arial" w:cs="Arial"/>
                      <w:b/>
                      <w:bCs/>
                      <w:lang w:eastAsia="es-MX"/>
                    </w:rPr>
                    <w:t xml:space="preserve">DUALIDAD ECONOMICA </w:t>
                  </w:r>
                  <w:r w:rsidRPr="00D40EF6">
                    <w:rPr>
                      <w:rFonts w:ascii="Arial" w:hAnsi="Arial" w:cs="Arial"/>
                      <w:sz w:val="24"/>
                      <w:szCs w:val="24"/>
                      <w:lang w:eastAsia="es-MX"/>
                    </w:rPr>
                    <w:t xml:space="preserve">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rsidR="00A83A65" w:rsidRDefault="00A83A65" w:rsidP="00D40EF6">
                  <w:pPr>
                    <w:autoSpaceDE w:val="0"/>
                    <w:autoSpaceDN w:val="0"/>
                    <w:adjustRightInd w:val="0"/>
                    <w:spacing w:after="0" w:line="240" w:lineRule="auto"/>
                    <w:rPr>
                      <w:rFonts w:ascii="Arial" w:hAnsi="Arial" w:cs="Arial"/>
                      <w:sz w:val="24"/>
                      <w:szCs w:val="24"/>
                      <w:lang w:eastAsia="es-MX"/>
                    </w:rPr>
                  </w:pPr>
                </w:p>
                <w:p w:rsidR="00A83A65"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Arial" w:hAnsi="Arial" w:cs="Arial"/>
                      <w:b/>
                      <w:bCs/>
                      <w:sz w:val="24"/>
                      <w:szCs w:val="24"/>
                      <w:lang w:eastAsia="es-MX"/>
                    </w:rPr>
                    <w:t xml:space="preserve"> 11) </w:t>
                  </w:r>
                  <w:r w:rsidRPr="00D40EF6">
                    <w:rPr>
                      <w:rFonts w:ascii="Arial" w:hAnsi="Arial" w:cs="Arial"/>
                      <w:b/>
                      <w:bCs/>
                      <w:lang w:eastAsia="es-MX"/>
                    </w:rPr>
                    <w:t xml:space="preserve">CONSISTENCIA </w:t>
                  </w:r>
                  <w:r w:rsidRPr="00D40EF6">
                    <w:rPr>
                      <w:rFonts w:ascii="Arial" w:hAnsi="Arial" w:cs="Arial"/>
                      <w:sz w:val="24"/>
                      <w:szCs w:val="24"/>
                      <w:lang w:eastAsia="es-MX"/>
                    </w:rPr>
                    <w:t xml:space="preserve"> Ante la existencia de operaciones similares en un ente público, debe corresponder un mismo tratamiento contable, el cual debe permanecer a través del tiempo, en tanto no cambie la esencia económica de las operaciones.   </w:t>
                  </w:r>
                </w:p>
                <w:p w:rsidR="00A83A65" w:rsidRDefault="00A83A65" w:rsidP="00D40EF6">
                  <w:pPr>
                    <w:autoSpaceDE w:val="0"/>
                    <w:autoSpaceDN w:val="0"/>
                    <w:adjustRightInd w:val="0"/>
                    <w:spacing w:after="0" w:line="240" w:lineRule="auto"/>
                    <w:rPr>
                      <w:rFonts w:ascii="Arial" w:hAnsi="Arial" w:cs="Arial"/>
                      <w:sz w:val="24"/>
                      <w:szCs w:val="24"/>
                      <w:lang w:eastAsia="es-MX"/>
                    </w:rPr>
                  </w:pPr>
                </w:p>
                <w:p w:rsidR="00A83A65"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Arial" w:hAnsi="Arial" w:cs="Arial"/>
                      <w:sz w:val="24"/>
                      <w:szCs w:val="24"/>
                      <w:lang w:eastAsia="es-MX"/>
                    </w:rPr>
                    <w:t xml:space="preserve">De conformidad con el marco conceptual de la contabilidad, la supletoriedad en su aplicación y de la normatividad que de éste se derive, será:      </w:t>
                  </w:r>
                </w:p>
                <w:p w:rsidR="00A83A65" w:rsidRDefault="00A83A65" w:rsidP="00D40EF6">
                  <w:pPr>
                    <w:autoSpaceDE w:val="0"/>
                    <w:autoSpaceDN w:val="0"/>
                    <w:adjustRightInd w:val="0"/>
                    <w:spacing w:after="0" w:line="240" w:lineRule="auto"/>
                    <w:rPr>
                      <w:rFonts w:ascii="Arial" w:hAnsi="Arial" w:cs="Arial"/>
                      <w:sz w:val="24"/>
                      <w:szCs w:val="24"/>
                      <w:lang w:eastAsia="es-MX"/>
                    </w:rPr>
                  </w:pPr>
                </w:p>
                <w:p w:rsidR="00A83A65"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Arial" w:hAnsi="Arial" w:cs="Arial"/>
                      <w:sz w:val="24"/>
                      <w:szCs w:val="24"/>
                      <w:lang w:eastAsia="es-MX"/>
                    </w:rPr>
                    <w:t xml:space="preserve">a) La normatividad emitida por las unidades administrativas o instancias competentes en materia de Contabilidad Gubernamental;     </w:t>
                  </w:r>
                </w:p>
                <w:p w:rsidR="00A83A65" w:rsidRDefault="00A83A65" w:rsidP="00D40EF6">
                  <w:pPr>
                    <w:autoSpaceDE w:val="0"/>
                    <w:autoSpaceDN w:val="0"/>
                    <w:adjustRightInd w:val="0"/>
                    <w:spacing w:after="0" w:line="240" w:lineRule="auto"/>
                    <w:rPr>
                      <w:rFonts w:ascii="Arial" w:hAnsi="Arial" w:cs="Arial"/>
                      <w:sz w:val="24"/>
                      <w:szCs w:val="24"/>
                      <w:lang w:eastAsia="es-MX"/>
                    </w:rPr>
                  </w:pPr>
                </w:p>
                <w:p w:rsidR="00A83A65"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Arial" w:hAnsi="Arial" w:cs="Arial"/>
                      <w:sz w:val="24"/>
                      <w:szCs w:val="24"/>
                      <w:lang w:eastAsia="es-MX"/>
                    </w:rPr>
                    <w:t xml:space="preserve"> b) Las Normas Internacionales de Contabilidad para el Sector Público (NICSP) emitidas por la Junta de Normas Internacionales de Contabilidad del Sector Público (International </w:t>
                  </w:r>
                  <w:proofErr w:type="spellStart"/>
                  <w:r w:rsidRPr="00D40EF6">
                    <w:rPr>
                      <w:rFonts w:ascii="Arial" w:hAnsi="Arial" w:cs="Arial"/>
                      <w:sz w:val="24"/>
                      <w:szCs w:val="24"/>
                      <w:lang w:eastAsia="es-MX"/>
                    </w:rPr>
                    <w:t>Public</w:t>
                  </w:r>
                  <w:proofErr w:type="spellEnd"/>
                  <w:r w:rsidRPr="00D40EF6">
                    <w:rPr>
                      <w:rFonts w:ascii="Arial" w:hAnsi="Arial" w:cs="Arial"/>
                      <w:sz w:val="24"/>
                      <w:szCs w:val="24"/>
                      <w:lang w:eastAsia="es-MX"/>
                    </w:rPr>
                    <w:t xml:space="preserve"> Sector </w:t>
                  </w:r>
                  <w:proofErr w:type="spellStart"/>
                  <w:r w:rsidRPr="00D40EF6">
                    <w:rPr>
                      <w:rFonts w:ascii="Arial" w:hAnsi="Arial" w:cs="Arial"/>
                      <w:sz w:val="24"/>
                      <w:szCs w:val="24"/>
                      <w:lang w:eastAsia="es-MX"/>
                    </w:rPr>
                    <w:t>Accounting</w:t>
                  </w:r>
                  <w:proofErr w:type="spellEnd"/>
                  <w:r w:rsidRPr="00D40EF6">
                    <w:rPr>
                      <w:rFonts w:ascii="Arial" w:hAnsi="Arial" w:cs="Arial"/>
                      <w:sz w:val="24"/>
                      <w:szCs w:val="24"/>
                      <w:lang w:eastAsia="es-MX"/>
                    </w:rPr>
                    <w:t xml:space="preserve"> </w:t>
                  </w:r>
                  <w:proofErr w:type="spellStart"/>
                  <w:r w:rsidRPr="00D40EF6">
                    <w:rPr>
                      <w:rFonts w:ascii="Arial" w:hAnsi="Arial" w:cs="Arial"/>
                      <w:sz w:val="24"/>
                      <w:szCs w:val="24"/>
                      <w:lang w:eastAsia="es-MX"/>
                    </w:rPr>
                    <w:t>Standards</w:t>
                  </w:r>
                  <w:proofErr w:type="spellEnd"/>
                  <w:r w:rsidRPr="00D40EF6">
                    <w:rPr>
                      <w:rFonts w:ascii="Arial" w:hAnsi="Arial" w:cs="Arial"/>
                      <w:sz w:val="24"/>
                      <w:szCs w:val="24"/>
                      <w:lang w:eastAsia="es-MX"/>
                    </w:rPr>
                    <w:t xml:space="preserve"> </w:t>
                  </w:r>
                  <w:proofErr w:type="spellStart"/>
                  <w:r w:rsidRPr="00D40EF6">
                    <w:rPr>
                      <w:rFonts w:ascii="Arial" w:hAnsi="Arial" w:cs="Arial"/>
                      <w:sz w:val="24"/>
                      <w:szCs w:val="24"/>
                      <w:lang w:eastAsia="es-MX"/>
                    </w:rPr>
                    <w:t>Board</w:t>
                  </w:r>
                  <w:proofErr w:type="spellEnd"/>
                  <w:r w:rsidRPr="00D40EF6">
                    <w:rPr>
                      <w:rFonts w:ascii="Arial" w:hAnsi="Arial" w:cs="Arial"/>
                      <w:sz w:val="24"/>
                      <w:szCs w:val="24"/>
                      <w:lang w:eastAsia="es-MX"/>
                    </w:rPr>
                    <w:t xml:space="preserve">, International </w:t>
                  </w:r>
                  <w:proofErr w:type="spellStart"/>
                  <w:r w:rsidRPr="00D40EF6">
                    <w:rPr>
                      <w:rFonts w:ascii="Arial" w:hAnsi="Arial" w:cs="Arial"/>
                      <w:sz w:val="24"/>
                      <w:szCs w:val="24"/>
                      <w:lang w:eastAsia="es-MX"/>
                    </w:rPr>
                    <w:t>Federation</w:t>
                  </w:r>
                  <w:proofErr w:type="spellEnd"/>
                  <w:r w:rsidRPr="00D40EF6">
                    <w:rPr>
                      <w:rFonts w:ascii="Arial" w:hAnsi="Arial" w:cs="Arial"/>
                      <w:sz w:val="24"/>
                      <w:szCs w:val="24"/>
                      <w:lang w:eastAsia="es-MX"/>
                    </w:rPr>
                    <w:t xml:space="preserve"> </w:t>
                  </w:r>
                  <w:proofErr w:type="spellStart"/>
                  <w:r w:rsidRPr="00D40EF6">
                    <w:rPr>
                      <w:rFonts w:ascii="Arial" w:hAnsi="Arial" w:cs="Arial"/>
                      <w:sz w:val="24"/>
                      <w:szCs w:val="24"/>
                      <w:lang w:eastAsia="es-MX"/>
                    </w:rPr>
                    <w:t>Accounting</w:t>
                  </w:r>
                  <w:proofErr w:type="spellEnd"/>
                  <w:r w:rsidRPr="00D40EF6">
                    <w:rPr>
                      <w:rFonts w:ascii="Arial" w:hAnsi="Arial" w:cs="Arial"/>
                      <w:sz w:val="24"/>
                      <w:szCs w:val="24"/>
                      <w:lang w:eastAsia="es-MX"/>
                    </w:rPr>
                    <w:t xml:space="preserve"> </w:t>
                  </w:r>
                  <w:proofErr w:type="spellStart"/>
                  <w:r w:rsidRPr="00D40EF6">
                    <w:rPr>
                      <w:rFonts w:ascii="Arial" w:hAnsi="Arial" w:cs="Arial"/>
                      <w:sz w:val="24"/>
                      <w:szCs w:val="24"/>
                      <w:lang w:eastAsia="es-MX"/>
                    </w:rPr>
                    <w:t>Committee</w:t>
                  </w:r>
                  <w:proofErr w:type="spellEnd"/>
                  <w:r w:rsidRPr="00D40EF6">
                    <w:rPr>
                      <w:rFonts w:ascii="Arial" w:hAnsi="Arial" w:cs="Arial"/>
                      <w:sz w:val="24"/>
                      <w:szCs w:val="24"/>
                      <w:lang w:eastAsia="es-MX"/>
                    </w:rPr>
                    <w:t xml:space="preserve">);      </w:t>
                  </w:r>
                </w:p>
                <w:p w:rsidR="00A83A65" w:rsidRDefault="00A83A65" w:rsidP="00D40EF6">
                  <w:pPr>
                    <w:autoSpaceDE w:val="0"/>
                    <w:autoSpaceDN w:val="0"/>
                    <w:adjustRightInd w:val="0"/>
                    <w:spacing w:after="0" w:line="240" w:lineRule="auto"/>
                    <w:rPr>
                      <w:rFonts w:ascii="Arial" w:hAnsi="Arial" w:cs="Arial"/>
                      <w:sz w:val="24"/>
                      <w:szCs w:val="24"/>
                      <w:lang w:eastAsia="es-MX"/>
                    </w:rPr>
                  </w:pPr>
                </w:p>
                <w:p w:rsidR="00A83A65"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Arial" w:hAnsi="Arial" w:cs="Arial"/>
                      <w:sz w:val="24"/>
                      <w:szCs w:val="24"/>
                      <w:lang w:eastAsia="es-MX"/>
                    </w:rPr>
                    <w:t xml:space="preserve">c) Las Normas de Información Financiera del Consejo Mexicano para la Investigación y Desarrollo de Normas de Información Financiera (CINIF).      Los entes públicos deberán informar, antes de su aplicación, al secretario técnico del CONAC, a efecto de que se analice, se proponga y, en su oportunidad, se emita la normatividad correspondiente.      </w:t>
                  </w:r>
                </w:p>
                <w:p w:rsidR="00A83A65" w:rsidRDefault="00A83A65" w:rsidP="00D40EF6">
                  <w:pPr>
                    <w:autoSpaceDE w:val="0"/>
                    <w:autoSpaceDN w:val="0"/>
                    <w:adjustRightInd w:val="0"/>
                    <w:spacing w:after="0" w:line="240" w:lineRule="auto"/>
                    <w:rPr>
                      <w:rFonts w:ascii="Arial" w:hAnsi="Arial" w:cs="Arial"/>
                      <w:sz w:val="24"/>
                      <w:szCs w:val="24"/>
                      <w:lang w:eastAsia="es-MX"/>
                    </w:rPr>
                  </w:pPr>
                </w:p>
                <w:p w:rsidR="00A83A65"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Arial" w:hAnsi="Arial" w:cs="Arial"/>
                      <w:b/>
                      <w:bCs/>
                      <w:sz w:val="24"/>
                      <w:szCs w:val="24"/>
                      <w:lang w:eastAsia="es-MX"/>
                    </w:rPr>
                    <w:t xml:space="preserve"> 5. Políticas de Contabilidad Significativas  </w:t>
                  </w:r>
                  <w:r w:rsidRPr="00D40EF6">
                    <w:rPr>
                      <w:rFonts w:ascii="Arial" w:hAnsi="Arial" w:cs="Arial"/>
                      <w:sz w:val="24"/>
                      <w:szCs w:val="24"/>
                      <w:lang w:eastAsia="es-MX"/>
                    </w:rPr>
                    <w:t xml:space="preserve"> </w:t>
                  </w:r>
                  <w:r w:rsidRPr="00D40EF6">
                    <w:rPr>
                      <w:rFonts w:ascii="Arial" w:hAnsi="Arial" w:cs="Arial"/>
                      <w:b/>
                      <w:bCs/>
                      <w:sz w:val="24"/>
                      <w:szCs w:val="24"/>
                      <w:lang w:eastAsia="es-MX"/>
                    </w:rPr>
                    <w:t xml:space="preserve">Efectos de la inflación </w:t>
                  </w:r>
                  <w:r w:rsidRPr="00D40EF6">
                    <w:rPr>
                      <w:rFonts w:ascii="Arial" w:hAnsi="Arial" w:cs="Arial"/>
                      <w:sz w:val="24"/>
                      <w:szCs w:val="24"/>
                      <w:lang w:eastAsia="es-MX"/>
                    </w:rPr>
                    <w:t xml:space="preserve"> 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 El efecto de la actualización de las cuentas de activo, pasivo y patrimonio (</w:t>
                  </w:r>
                  <w:proofErr w:type="spellStart"/>
                  <w:r w:rsidRPr="00D40EF6">
                    <w:rPr>
                      <w:rFonts w:ascii="Arial" w:hAnsi="Arial" w:cs="Arial"/>
                      <w:sz w:val="24"/>
                      <w:szCs w:val="24"/>
                      <w:lang w:eastAsia="es-MX"/>
                    </w:rPr>
                    <w:t>reexpresión</w:t>
                  </w:r>
                  <w:proofErr w:type="spellEnd"/>
                  <w:r w:rsidRPr="00D40EF6">
                    <w:rPr>
                      <w:rFonts w:ascii="Arial" w:hAnsi="Arial" w:cs="Arial"/>
                      <w:sz w:val="24"/>
                      <w:szCs w:val="24"/>
                      <w:lang w:eastAsia="es-MX"/>
                    </w:rPr>
                    <w:t xml:space="preserve">) se realizará contra la cuenta 3.1.3.7   Actualización de la Hacienda Pública/Patrimonio. En vista de la desconexión inflacionaria, al 30 de Junio de 2024, no fue necesario actualizar la Hacienda Pública del Municipio.   </w:t>
                  </w:r>
                  <w:r w:rsidRPr="00D40EF6">
                    <w:rPr>
                      <w:rFonts w:ascii="Arial" w:hAnsi="Arial" w:cs="Arial"/>
                      <w:b/>
                      <w:bCs/>
                      <w:sz w:val="24"/>
                      <w:szCs w:val="24"/>
                      <w:lang w:eastAsia="es-MX"/>
                    </w:rPr>
                    <w:t xml:space="preserve"> </w:t>
                  </w: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Arial" w:hAnsi="Arial" w:cs="Arial"/>
                      <w:b/>
                      <w:bCs/>
                      <w:sz w:val="24"/>
                      <w:szCs w:val="24"/>
                      <w:lang w:eastAsia="es-MX"/>
                    </w:rPr>
                    <w:t xml:space="preserve">6. Posición en Moneda Extranjera y Protección por Riesgo Cambiario  </w:t>
                  </w:r>
                  <w:r w:rsidRPr="00D40EF6">
                    <w:rPr>
                      <w:rFonts w:ascii="Arial" w:hAnsi="Arial" w:cs="Arial"/>
                      <w:sz w:val="24"/>
                      <w:szCs w:val="24"/>
                      <w:lang w:eastAsia="es-MX"/>
                    </w:rPr>
                    <w:t xml:space="preserve"> El Municipio no realiza operaciones en moneda extranjera, por lo que no se han generados activos o pasivos en moneda distinta al peso mexicano.    </w:t>
                  </w:r>
                  <w:r w:rsidRPr="00D40EF6">
                    <w:rPr>
                      <w:rFonts w:ascii="Arial" w:hAnsi="Arial" w:cs="Arial"/>
                      <w:b/>
                      <w:bCs/>
                      <w:sz w:val="24"/>
                      <w:szCs w:val="24"/>
                      <w:lang w:eastAsia="es-MX"/>
                    </w:rPr>
                    <w:t xml:space="preserve"> </w:t>
                  </w: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Arial" w:hAnsi="Arial" w:cs="Arial"/>
                      <w:b/>
                      <w:bCs/>
                      <w:sz w:val="24"/>
                      <w:szCs w:val="24"/>
                      <w:lang w:eastAsia="es-MX"/>
                    </w:rPr>
                    <w:t xml:space="preserve">7. Reporte Analítico del Activo  </w:t>
                  </w:r>
                  <w:r w:rsidRPr="00D40EF6">
                    <w:rPr>
                      <w:rFonts w:ascii="Arial" w:hAnsi="Arial" w:cs="Arial"/>
                      <w:sz w:val="24"/>
                      <w:szCs w:val="24"/>
                      <w:lang w:eastAsia="es-MX"/>
                    </w:rPr>
                    <w:t xml:space="preserve"> No está registrada contablemente, la depreciación de los bienes muebles e inmuebles capitalizados, ni la amortización de los activos intangibles, en virtud de que no se ha efectuado la conciliación física-contable de dichos bienes y a que no se les ha asignado una vida útil estimada a los activos.    </w:t>
                  </w:r>
                  <w:r w:rsidRPr="00D40EF6">
                    <w:rPr>
                      <w:rFonts w:ascii="Arial" w:hAnsi="Arial" w:cs="Arial"/>
                      <w:b/>
                      <w:bCs/>
                      <w:sz w:val="24"/>
                      <w:szCs w:val="24"/>
                      <w:lang w:eastAsia="es-MX"/>
                    </w:rPr>
                    <w:t xml:space="preserve"> </w:t>
                  </w: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Arial" w:hAnsi="Arial" w:cs="Arial"/>
                      <w:b/>
                      <w:bCs/>
                      <w:sz w:val="24"/>
                      <w:szCs w:val="24"/>
                      <w:lang w:eastAsia="es-MX"/>
                    </w:rPr>
                    <w:t>8. Fideicomisos, Mandatos y Análogos.</w:t>
                  </w:r>
                  <w:r w:rsidRPr="00D40EF6">
                    <w:rPr>
                      <w:rFonts w:ascii="Arial" w:hAnsi="Arial" w:cs="Arial"/>
                      <w:sz w:val="24"/>
                      <w:szCs w:val="24"/>
                      <w:lang w:eastAsia="es-MX"/>
                    </w:rPr>
                    <w:t xml:space="preserve">  </w:t>
                  </w:r>
                </w:p>
                <w:p w:rsidR="00A83A65" w:rsidRDefault="00A83A65" w:rsidP="00D40EF6">
                  <w:pPr>
                    <w:autoSpaceDE w:val="0"/>
                    <w:autoSpaceDN w:val="0"/>
                    <w:adjustRightInd w:val="0"/>
                    <w:spacing w:after="0" w:line="240" w:lineRule="auto"/>
                    <w:rPr>
                      <w:rFonts w:ascii="Arial" w:hAnsi="Arial" w:cs="Arial"/>
                      <w:sz w:val="24"/>
                      <w:szCs w:val="24"/>
                      <w:lang w:eastAsia="es-MX"/>
                    </w:rPr>
                  </w:pPr>
                </w:p>
                <w:p w:rsidR="00A83A65"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Fideicomiso irrevocable para la administración de un fondo para el pago de indemnizaciones de enfermedades por riesgos de trabajo.     </w:t>
                  </w:r>
                </w:p>
                <w:p w:rsidR="00A83A65"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Fideicomiso para el desarrollo del proyecto denominado “Guadalajara Ciudad Creativa Digital”.     </w:t>
                  </w:r>
                </w:p>
                <w:p w:rsidR="00A83A65"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Fideicomiso Fondo Guadalajara de Fomento Empresarial.     </w:t>
                  </w:r>
                </w:p>
                <w:p w:rsidR="00A83A65"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Fideicomiso Expo- Guadalajara.    </w:t>
                  </w:r>
                </w:p>
                <w:p w:rsidR="00A83A65" w:rsidRDefault="00B13E3D" w:rsidP="00D40EF6">
                  <w:pPr>
                    <w:autoSpaceDE w:val="0"/>
                    <w:autoSpaceDN w:val="0"/>
                    <w:adjustRightInd w:val="0"/>
                    <w:spacing w:after="0" w:line="240" w:lineRule="auto"/>
                    <w:rPr>
                      <w:rFonts w:ascii="Symbol" w:hAnsi="Symbol" w:cs="Symbol"/>
                      <w:sz w:val="24"/>
                      <w:szCs w:val="24"/>
                      <w:lang w:eastAsia="es-MX"/>
                    </w:rPr>
                  </w:pP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Fideicomiso INVEX 1555.  </w:t>
                  </w: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Symbol" w:hAnsi="Symbol" w:cs="Symbol"/>
                      <w:sz w:val="24"/>
                      <w:szCs w:val="24"/>
                      <w:lang w:eastAsia="es-MX"/>
                    </w:rPr>
                    <w:t></w:t>
                  </w:r>
                </w:p>
                <w:p w:rsidR="00A83A65" w:rsidRDefault="00B13E3D" w:rsidP="00D40EF6">
                  <w:pPr>
                    <w:autoSpaceDE w:val="0"/>
                    <w:autoSpaceDN w:val="0"/>
                    <w:adjustRightInd w:val="0"/>
                    <w:spacing w:after="0" w:line="240" w:lineRule="auto"/>
                    <w:rPr>
                      <w:rFonts w:ascii="Arial" w:hAnsi="Arial" w:cs="Arial"/>
                      <w:b/>
                      <w:bCs/>
                      <w:sz w:val="28"/>
                      <w:szCs w:val="28"/>
                      <w:lang w:eastAsia="es-MX"/>
                    </w:rPr>
                  </w:pP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Fideicomiso Bancomer 403248-8</w:t>
                  </w:r>
                  <w:r w:rsidRPr="00D40EF6">
                    <w:rPr>
                      <w:rFonts w:ascii="Arial" w:hAnsi="Arial" w:cs="Arial"/>
                      <w:b/>
                      <w:bCs/>
                      <w:sz w:val="28"/>
                      <w:szCs w:val="28"/>
                      <w:lang w:eastAsia="es-MX"/>
                    </w:rPr>
                    <w:t xml:space="preserve">    </w:t>
                  </w:r>
                </w:p>
                <w:p w:rsidR="00A83A65"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Fideicomiso </w:t>
                  </w:r>
                  <w:proofErr w:type="spellStart"/>
                  <w:r w:rsidRPr="00D40EF6">
                    <w:rPr>
                      <w:rFonts w:ascii="Arial" w:hAnsi="Arial" w:cs="Arial"/>
                      <w:sz w:val="24"/>
                      <w:szCs w:val="24"/>
                      <w:lang w:eastAsia="es-MX"/>
                    </w:rPr>
                    <w:t>Multiva</w:t>
                  </w:r>
                  <w:proofErr w:type="spellEnd"/>
                  <w:r w:rsidRPr="00D40EF6">
                    <w:rPr>
                      <w:rFonts w:ascii="Arial" w:hAnsi="Arial" w:cs="Arial"/>
                      <w:sz w:val="24"/>
                      <w:szCs w:val="24"/>
                      <w:lang w:eastAsia="es-MX"/>
                    </w:rPr>
                    <w:t xml:space="preserve"> 437-2       </w:t>
                  </w:r>
                </w:p>
                <w:p w:rsidR="00A83A65"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Fideicomiso Fondo Guadalajara (programa CUIDEMOS TU EMPLEO)  </w:t>
                  </w:r>
                  <w:r w:rsidRPr="00D40EF6">
                    <w:rPr>
                      <w:rFonts w:ascii="Symbol" w:hAnsi="Symbol" w:cs="Symbol"/>
                      <w:sz w:val="24"/>
                      <w:szCs w:val="24"/>
                      <w:lang w:eastAsia="es-MX"/>
                    </w:rPr>
                    <w:t></w:t>
                  </w:r>
                  <w:r w:rsidRPr="00D40EF6">
                    <w:rPr>
                      <w:rFonts w:ascii="Symbol" w:hAnsi="Symbol" w:cs="Symbol"/>
                      <w:sz w:val="24"/>
                      <w:szCs w:val="24"/>
                      <w:lang w:eastAsia="es-MX"/>
                    </w:rPr>
                    <w:t></w:t>
                  </w:r>
                  <w:r w:rsidRPr="00D40EF6">
                    <w:rPr>
                      <w:rFonts w:ascii="Arial" w:hAnsi="Arial" w:cs="Arial"/>
                      <w:sz w:val="24"/>
                      <w:szCs w:val="24"/>
                      <w:lang w:eastAsia="es-MX"/>
                    </w:rPr>
                    <w:t xml:space="preserve">Fideicomiso de Turismo de la Zona Metropolitana de Guadalajara.   </w:t>
                  </w:r>
                  <w:r w:rsidRPr="00D40EF6">
                    <w:rPr>
                      <w:rFonts w:ascii="Arial" w:hAnsi="Arial" w:cs="Arial"/>
                      <w:b/>
                      <w:bCs/>
                      <w:sz w:val="24"/>
                      <w:szCs w:val="24"/>
                      <w:lang w:eastAsia="es-MX"/>
                    </w:rPr>
                    <w:t xml:space="preserve"> </w:t>
                  </w: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Arial" w:hAnsi="Arial" w:cs="Arial"/>
                      <w:b/>
                      <w:bCs/>
                      <w:sz w:val="24"/>
                      <w:szCs w:val="24"/>
                      <w:lang w:eastAsia="es-MX"/>
                    </w:rPr>
                    <w:t xml:space="preserve">9. Reporte de la Recaudación  </w:t>
                  </w:r>
                  <w:r w:rsidRPr="00D40EF6">
                    <w:rPr>
                      <w:rFonts w:ascii="Arial" w:hAnsi="Arial" w:cs="Arial"/>
                      <w:sz w:val="24"/>
                      <w:szCs w:val="24"/>
                      <w:lang w:eastAsia="es-MX"/>
                    </w:rPr>
                    <w:t xml:space="preserve"> Los ingresos obtenidos al Junio  de 2024, se presentan en el Estado de Actividades.     </w:t>
                  </w:r>
                  <w:r w:rsidRPr="00D40EF6">
                    <w:rPr>
                      <w:rFonts w:ascii="Arial" w:hAnsi="Arial" w:cs="Arial"/>
                      <w:b/>
                      <w:bCs/>
                      <w:sz w:val="24"/>
                      <w:szCs w:val="24"/>
                      <w:lang w:eastAsia="es-MX"/>
                    </w:rPr>
                    <w:t xml:space="preserve"> </w:t>
                  </w: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Arial" w:hAnsi="Arial" w:cs="Arial"/>
                      <w:b/>
                      <w:bCs/>
                      <w:sz w:val="24"/>
                      <w:szCs w:val="24"/>
                      <w:lang w:eastAsia="es-MX"/>
                    </w:rPr>
                    <w:t xml:space="preserve">10. Información sobre la Deuda y el Reporte Analítico de la Deuda  </w:t>
                  </w:r>
                  <w:r w:rsidRPr="00D40EF6">
                    <w:rPr>
                      <w:rFonts w:ascii="Arial" w:hAnsi="Arial" w:cs="Arial"/>
                      <w:sz w:val="24"/>
                      <w:szCs w:val="24"/>
                      <w:lang w:eastAsia="es-MX"/>
                    </w:rPr>
                    <w:t xml:space="preserve"> La información correspondiente se revela en las notas de desglose relativas al pasivo.  </w:t>
                  </w:r>
                  <w:r w:rsidRPr="00D40EF6">
                    <w:rPr>
                      <w:rFonts w:ascii="Arial" w:hAnsi="Arial" w:cs="Arial"/>
                      <w:b/>
                      <w:bCs/>
                      <w:sz w:val="24"/>
                      <w:szCs w:val="24"/>
                      <w:lang w:eastAsia="es-MX"/>
                    </w:rPr>
                    <w:t xml:space="preserve">  </w:t>
                  </w:r>
                  <w:r w:rsidRPr="00D40EF6">
                    <w:rPr>
                      <w:rFonts w:ascii="Arial" w:hAnsi="Arial" w:cs="Arial"/>
                      <w:sz w:val="24"/>
                      <w:szCs w:val="24"/>
                      <w:lang w:eastAsia="es-MX"/>
                    </w:rPr>
                    <w:t xml:space="preserve">  </w:t>
                  </w:r>
                  <w:r w:rsidRPr="00D40EF6">
                    <w:rPr>
                      <w:rFonts w:ascii="Arial" w:hAnsi="Arial" w:cs="Arial"/>
                      <w:b/>
                      <w:bCs/>
                      <w:sz w:val="24"/>
                      <w:szCs w:val="24"/>
                      <w:lang w:eastAsia="es-MX"/>
                    </w:rPr>
                    <w:t xml:space="preserve"> </w:t>
                  </w: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Arial" w:hAnsi="Arial" w:cs="Arial"/>
                      <w:b/>
                      <w:bCs/>
                      <w:sz w:val="24"/>
                      <w:szCs w:val="24"/>
                      <w:lang w:eastAsia="es-MX"/>
                    </w:rPr>
                    <w:t xml:space="preserve">11. Calificaciones otorgadas  </w:t>
                  </w:r>
                  <w:r w:rsidRPr="00D40EF6">
                    <w:rPr>
                      <w:rFonts w:ascii="Arial" w:hAnsi="Arial" w:cs="Arial"/>
                      <w:sz w:val="24"/>
                      <w:szCs w:val="24"/>
                      <w:lang w:eastAsia="es-MX"/>
                    </w:rPr>
                    <w:t xml:space="preserve"> Al 30 Junio de 2024 no se realizaron transacciones que hayan sido sujetas a una calificación crediticia.       </w:t>
                  </w:r>
                  <w:r w:rsidRPr="00D40EF6">
                    <w:rPr>
                      <w:rFonts w:ascii="Arial" w:hAnsi="Arial" w:cs="Arial"/>
                      <w:b/>
                      <w:bCs/>
                      <w:sz w:val="24"/>
                      <w:szCs w:val="24"/>
                      <w:lang w:eastAsia="es-MX"/>
                    </w:rPr>
                    <w:t xml:space="preserve"> </w:t>
                  </w: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Arial" w:hAnsi="Arial" w:cs="Arial"/>
                      <w:b/>
                      <w:bCs/>
                      <w:sz w:val="24"/>
                      <w:szCs w:val="24"/>
                      <w:lang w:eastAsia="es-MX"/>
                    </w:rPr>
                    <w:t xml:space="preserve">12. Proceso de Mejora  </w:t>
                  </w:r>
                  <w:r w:rsidRPr="00D40EF6">
                    <w:rPr>
                      <w:rFonts w:ascii="Arial" w:hAnsi="Arial" w:cs="Arial"/>
                      <w:sz w:val="24"/>
                      <w:szCs w:val="24"/>
                      <w:lang w:eastAsia="es-MX"/>
                    </w:rPr>
                    <w:t xml:space="preserve"> Las políticas de control interno están diseñadas para evitar el detrimento del patrimonio municipal y la disposición indebida de los bienes de su propiedad, así como para promover la eficiencia en la operación de la administración pública municipal, en un marco de austeridad. Desde la entrada de la administración municipal actual, se está en la búsqueda de áreas de oportunidad que permitan operar con eficacia, eficiencia, economía y austeridad. Las metas establecidas en cada ejercicio, son monitoreadas oportunamente a través de indicadores específicos para cada una de ellas.  </w:t>
                  </w:r>
                  <w:r w:rsidRPr="00D40EF6">
                    <w:rPr>
                      <w:rFonts w:ascii="Arial" w:hAnsi="Arial" w:cs="Arial"/>
                      <w:b/>
                      <w:bCs/>
                      <w:sz w:val="24"/>
                      <w:szCs w:val="24"/>
                      <w:lang w:eastAsia="es-MX"/>
                    </w:rPr>
                    <w:t xml:space="preserve">     </w:t>
                  </w: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B13E3D" w:rsidP="00D40EF6">
                  <w:pPr>
                    <w:autoSpaceDE w:val="0"/>
                    <w:autoSpaceDN w:val="0"/>
                    <w:adjustRightInd w:val="0"/>
                    <w:spacing w:after="0" w:line="240" w:lineRule="auto"/>
                    <w:rPr>
                      <w:rFonts w:ascii="Arial" w:hAnsi="Arial" w:cs="Arial"/>
                      <w:b/>
                      <w:bCs/>
                      <w:sz w:val="24"/>
                      <w:szCs w:val="24"/>
                      <w:lang w:eastAsia="es-MX"/>
                    </w:rPr>
                  </w:pPr>
                  <w:r w:rsidRPr="00D40EF6">
                    <w:rPr>
                      <w:rFonts w:ascii="Arial" w:hAnsi="Arial" w:cs="Arial"/>
                      <w:b/>
                      <w:bCs/>
                      <w:sz w:val="24"/>
                      <w:szCs w:val="24"/>
                      <w:lang w:eastAsia="es-MX"/>
                    </w:rPr>
                    <w:t xml:space="preserve">13. Información por Segmentos </w:t>
                  </w:r>
                  <w:r w:rsidRPr="00D40EF6">
                    <w:rPr>
                      <w:rFonts w:ascii="Arial" w:hAnsi="Arial" w:cs="Arial"/>
                      <w:sz w:val="24"/>
                      <w:szCs w:val="24"/>
                      <w:lang w:eastAsia="es-MX"/>
                    </w:rPr>
                    <w:t xml:space="preserve">  En virtud de la actividad del Municipio, básicamente orientada a la prestación de los servicios públicos, no se ha considerado necesario que la contabilidad refleje el resultado de las operaciones por segmentos.   </w:t>
                  </w:r>
                  <w:r w:rsidRPr="00D40EF6">
                    <w:rPr>
                      <w:rFonts w:ascii="Arial" w:hAnsi="Arial" w:cs="Arial"/>
                      <w:b/>
                      <w:bCs/>
                      <w:sz w:val="24"/>
                      <w:szCs w:val="24"/>
                      <w:lang w:eastAsia="es-MX"/>
                    </w:rPr>
                    <w:t xml:space="preserve"> </w:t>
                  </w:r>
                  <w:r w:rsidRPr="00D40EF6">
                    <w:rPr>
                      <w:rFonts w:ascii="Arial" w:hAnsi="Arial" w:cs="Arial"/>
                      <w:sz w:val="24"/>
                      <w:szCs w:val="24"/>
                      <w:lang w:eastAsia="es-MX"/>
                    </w:rPr>
                    <w:t xml:space="preserve">  </w:t>
                  </w:r>
                  <w:r w:rsidRPr="00D40EF6">
                    <w:rPr>
                      <w:rFonts w:ascii="Arial" w:hAnsi="Arial" w:cs="Arial"/>
                      <w:b/>
                      <w:bCs/>
                      <w:sz w:val="24"/>
                      <w:szCs w:val="24"/>
                      <w:lang w:eastAsia="es-MX"/>
                    </w:rPr>
                    <w:t xml:space="preserve"> </w:t>
                  </w: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A83A65" w:rsidP="00D40EF6">
                  <w:pPr>
                    <w:autoSpaceDE w:val="0"/>
                    <w:autoSpaceDN w:val="0"/>
                    <w:adjustRightInd w:val="0"/>
                    <w:spacing w:after="0" w:line="240" w:lineRule="auto"/>
                    <w:rPr>
                      <w:rFonts w:ascii="Arial" w:hAnsi="Arial" w:cs="Arial"/>
                      <w:b/>
                      <w:bCs/>
                      <w:sz w:val="24"/>
                      <w:szCs w:val="24"/>
                      <w:lang w:eastAsia="es-MX"/>
                    </w:rPr>
                  </w:pPr>
                </w:p>
                <w:p w:rsidR="00A83A65"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Arial" w:hAnsi="Arial" w:cs="Arial"/>
                      <w:b/>
                      <w:bCs/>
                      <w:sz w:val="24"/>
                      <w:szCs w:val="24"/>
                      <w:lang w:eastAsia="es-MX"/>
                    </w:rPr>
                    <w:t xml:space="preserve">14. Eventos Posteriores al Cierre  </w:t>
                  </w:r>
                  <w:r w:rsidRPr="00D40EF6">
                    <w:rPr>
                      <w:rFonts w:ascii="Arial" w:hAnsi="Arial" w:cs="Arial"/>
                      <w:sz w:val="24"/>
                      <w:szCs w:val="24"/>
                      <w:lang w:eastAsia="es-MX"/>
                    </w:rPr>
                    <w:t xml:space="preserve">No han ocurrido eventos sustanciales extraordinarios, que afecten económicamente al Municipio de Guadalajara.      </w:t>
                  </w:r>
                </w:p>
                <w:p w:rsidR="00A83A65" w:rsidRDefault="00A83A65" w:rsidP="00D40EF6">
                  <w:pPr>
                    <w:autoSpaceDE w:val="0"/>
                    <w:autoSpaceDN w:val="0"/>
                    <w:adjustRightInd w:val="0"/>
                    <w:spacing w:after="0" w:line="240" w:lineRule="auto"/>
                    <w:rPr>
                      <w:rFonts w:ascii="Arial" w:hAnsi="Arial" w:cs="Arial"/>
                      <w:sz w:val="24"/>
                      <w:szCs w:val="24"/>
                      <w:lang w:eastAsia="es-MX"/>
                    </w:rPr>
                  </w:pPr>
                </w:p>
                <w:p w:rsidR="00A83A65" w:rsidRDefault="00A83A65" w:rsidP="00D40EF6">
                  <w:pPr>
                    <w:autoSpaceDE w:val="0"/>
                    <w:autoSpaceDN w:val="0"/>
                    <w:adjustRightInd w:val="0"/>
                    <w:spacing w:after="0" w:line="240" w:lineRule="auto"/>
                    <w:rPr>
                      <w:rFonts w:ascii="Arial" w:hAnsi="Arial" w:cs="Arial"/>
                      <w:sz w:val="24"/>
                      <w:szCs w:val="24"/>
                      <w:lang w:eastAsia="es-MX"/>
                    </w:rPr>
                  </w:pPr>
                </w:p>
                <w:p w:rsidR="00A83A65" w:rsidRDefault="00A83A65" w:rsidP="00D40EF6">
                  <w:pPr>
                    <w:autoSpaceDE w:val="0"/>
                    <w:autoSpaceDN w:val="0"/>
                    <w:adjustRightInd w:val="0"/>
                    <w:spacing w:after="0" w:line="240" w:lineRule="auto"/>
                    <w:rPr>
                      <w:rFonts w:ascii="Arial" w:hAnsi="Arial" w:cs="Arial"/>
                      <w:sz w:val="24"/>
                      <w:szCs w:val="24"/>
                      <w:lang w:eastAsia="es-MX"/>
                    </w:rPr>
                  </w:pPr>
                </w:p>
                <w:p w:rsidR="00B13E3D" w:rsidRPr="00D40EF6" w:rsidRDefault="00B13E3D" w:rsidP="00D40EF6">
                  <w:pPr>
                    <w:autoSpaceDE w:val="0"/>
                    <w:autoSpaceDN w:val="0"/>
                    <w:adjustRightInd w:val="0"/>
                    <w:spacing w:after="0" w:line="240" w:lineRule="auto"/>
                    <w:rPr>
                      <w:rFonts w:ascii="Arial" w:hAnsi="Arial" w:cs="Arial"/>
                      <w:sz w:val="24"/>
                      <w:szCs w:val="24"/>
                      <w:lang w:eastAsia="es-MX"/>
                    </w:rPr>
                  </w:pPr>
                  <w:r w:rsidRPr="00D40EF6">
                    <w:rPr>
                      <w:rFonts w:ascii="Arial" w:hAnsi="Arial" w:cs="Arial"/>
                      <w:b/>
                      <w:bCs/>
                      <w:sz w:val="24"/>
                      <w:szCs w:val="24"/>
                      <w:lang w:eastAsia="es-MX"/>
                    </w:rPr>
                    <w:t xml:space="preserve">15. Partes Relacionadas  </w:t>
                  </w:r>
                  <w:r w:rsidRPr="00D40EF6">
                    <w:rPr>
                      <w:rFonts w:ascii="Arial" w:hAnsi="Arial" w:cs="Arial"/>
                      <w:sz w:val="24"/>
                      <w:szCs w:val="24"/>
                      <w:lang w:eastAsia="es-MX"/>
                    </w:rPr>
                    <w:t xml:space="preserve"> La autoridad municipal no tiene partes relacionadas que pudieran ejercer influencia significativa sobre la toma de decisiones financieras y operativas. </w:t>
                  </w:r>
                  <w:r w:rsidRPr="00D40EF6">
                    <w:rPr>
                      <w:rFonts w:ascii="Arial" w:hAnsi="Arial" w:cs="Arial"/>
                      <w:sz w:val="23"/>
                      <w:szCs w:val="23"/>
                      <w:lang w:eastAsia="es-MX"/>
                    </w:rPr>
                    <w:t xml:space="preserve">  </w:t>
                  </w:r>
                  <w:r w:rsidRPr="00D40EF6">
                    <w:rPr>
                      <w:rFonts w:ascii="Arial" w:hAnsi="Arial" w:cs="Arial"/>
                      <w:sz w:val="24"/>
                      <w:szCs w:val="24"/>
                      <w:lang w:eastAsia="es-MX"/>
                    </w:rPr>
                    <w:t xml:space="preserve">      </w:t>
                  </w:r>
                  <w:r w:rsidRPr="00D40EF6">
                    <w:rPr>
                      <w:rFonts w:ascii="Times New Roman" w:hAnsi="Times New Roman"/>
                      <w:lang w:eastAsia="es-MX"/>
                    </w:rPr>
                    <w:t xml:space="preserve"> </w:t>
                  </w:r>
                  <w:r w:rsidRPr="00D40EF6">
                    <w:rPr>
                      <w:rFonts w:ascii="Arial" w:hAnsi="Arial" w:cs="Arial"/>
                      <w:sz w:val="24"/>
                      <w:szCs w:val="24"/>
                      <w:lang w:eastAsia="es-MX"/>
                    </w:rPr>
                    <w:t xml:space="preserve"> </w:t>
                  </w:r>
                  <w:r w:rsidRPr="00D40EF6">
                    <w:rPr>
                      <w:rFonts w:ascii="Times New Roman" w:hAnsi="Times New Roman"/>
                      <w:lang w:eastAsia="es-MX"/>
                    </w:rPr>
                    <w:t xml:space="preserve"> </w:t>
                  </w:r>
                </w:p>
              </w:tc>
            </w:tr>
          </w:tbl>
          <w:p w:rsidR="00B13E3D" w:rsidRDefault="00B13E3D" w:rsidP="00B13E3D">
            <w:pPr>
              <w:autoSpaceDE w:val="0"/>
              <w:autoSpaceDN w:val="0"/>
              <w:adjustRightInd w:val="0"/>
              <w:spacing w:after="0" w:line="240" w:lineRule="auto"/>
              <w:rPr>
                <w:rFonts w:ascii="Arial" w:hAnsi="Arial" w:cs="Arial"/>
                <w:sz w:val="23"/>
                <w:szCs w:val="23"/>
                <w:lang w:eastAsia="es-MX"/>
              </w:rPr>
            </w:pPr>
          </w:p>
          <w:p w:rsidR="00A45E83" w:rsidRPr="007326BD" w:rsidRDefault="00A45E83" w:rsidP="00A45E83">
            <w:pPr>
              <w:spacing w:after="0" w:line="240" w:lineRule="auto"/>
              <w:jc w:val="both"/>
              <w:rPr>
                <w:rFonts w:ascii="Arial" w:hAnsi="Arial" w:cs="Arial"/>
                <w:sz w:val="24"/>
                <w:szCs w:val="24"/>
              </w:rPr>
            </w:pPr>
          </w:p>
        </w:tc>
      </w:tr>
    </w:tbl>
    <w:p w:rsidR="00A45E83" w:rsidRDefault="00A45E83">
      <w:pPr>
        <w:rPr>
          <w:rFonts w:ascii="Arial" w:hAnsi="Arial" w:cs="Arial"/>
        </w:rPr>
      </w:pPr>
    </w:p>
    <w:p w:rsidR="008E706B" w:rsidRDefault="008E706B">
      <w:pPr>
        <w:rPr>
          <w:rFonts w:ascii="Arial" w:hAnsi="Arial" w:cs="Arial"/>
        </w:rPr>
      </w:pPr>
    </w:p>
    <w:p w:rsidR="00A83A65" w:rsidRDefault="00A83A65">
      <w:pPr>
        <w:rPr>
          <w:rFonts w:ascii="Arial" w:hAnsi="Arial" w:cs="Arial"/>
        </w:rPr>
      </w:pPr>
    </w:p>
    <w:p w:rsidR="00A83A65" w:rsidRDefault="00A83A65">
      <w:pPr>
        <w:rPr>
          <w:rFonts w:ascii="Arial" w:hAnsi="Arial" w:cs="Arial"/>
        </w:rPr>
      </w:pPr>
    </w:p>
    <w:tbl>
      <w:tblPr>
        <w:tblW w:w="970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58"/>
        <w:gridCol w:w="529"/>
        <w:gridCol w:w="360"/>
        <w:gridCol w:w="652"/>
        <w:gridCol w:w="3256"/>
        <w:gridCol w:w="349"/>
      </w:tblGrid>
      <w:tr w:rsidR="0009560A" w:rsidRPr="001F0913" w:rsidTr="00A83A65">
        <w:trPr>
          <w:jc w:val="center"/>
        </w:trPr>
        <w:tc>
          <w:tcPr>
            <w:tcW w:w="5087" w:type="dxa"/>
            <w:gridSpan w:val="2"/>
            <w:shd w:val="clear" w:color="auto" w:fill="auto"/>
            <w:vAlign w:val="center"/>
          </w:tcPr>
          <w:p w:rsidR="0009560A" w:rsidRPr="001F0913" w:rsidRDefault="00A45336" w:rsidP="0009560A">
            <w:pPr>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7216" behindDoc="0" locked="0" layoutInCell="1" allowOverlap="1" wp14:anchorId="1A205BF7" wp14:editId="6674CEF9">
                      <wp:simplePos x="0" y="0"/>
                      <wp:positionH relativeFrom="column">
                        <wp:posOffset>279400</wp:posOffset>
                      </wp:positionH>
                      <wp:positionV relativeFrom="paragraph">
                        <wp:posOffset>254635</wp:posOffset>
                      </wp:positionV>
                      <wp:extent cx="2295525" cy="0"/>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2pt;margin-top:20.0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"/>
                  </w:pict>
                </mc:Fallback>
              </mc:AlternateContent>
            </w:r>
          </w:p>
        </w:tc>
        <w:tc>
          <w:tcPr>
            <w:tcW w:w="1012" w:type="dxa"/>
            <w:gridSpan w:val="2"/>
            <w:shd w:val="clear" w:color="auto" w:fill="auto"/>
            <w:vAlign w:val="center"/>
          </w:tcPr>
          <w:p w:rsidR="0009560A" w:rsidRPr="001F0913" w:rsidRDefault="00A83A65" w:rsidP="0009560A">
            <w:pPr>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8240" behindDoc="0" locked="0" layoutInCell="1" allowOverlap="1" wp14:anchorId="5D735E10" wp14:editId="2DEC65CE">
                      <wp:simplePos x="0" y="0"/>
                      <wp:positionH relativeFrom="column">
                        <wp:posOffset>210185</wp:posOffset>
                      </wp:positionH>
                      <wp:positionV relativeFrom="paragraph">
                        <wp:posOffset>284480</wp:posOffset>
                      </wp:positionV>
                      <wp:extent cx="229552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6.55pt;margin-top:22.4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"/>
                  </w:pict>
                </mc:Fallback>
              </mc:AlternateContent>
            </w:r>
          </w:p>
        </w:tc>
        <w:tc>
          <w:tcPr>
            <w:tcW w:w="3605" w:type="dxa"/>
            <w:gridSpan w:val="2"/>
            <w:shd w:val="clear" w:color="auto" w:fill="auto"/>
            <w:vAlign w:val="center"/>
          </w:tcPr>
          <w:p w:rsidR="0009560A" w:rsidRPr="001F0913" w:rsidRDefault="0009560A" w:rsidP="0009560A">
            <w:pPr>
              <w:rPr>
                <w:rFonts w:ascii="Arial" w:hAnsi="Arial" w:cs="Arial"/>
                <w:sz w:val="20"/>
              </w:rPr>
            </w:pPr>
          </w:p>
        </w:tc>
      </w:tr>
      <w:tr w:rsidR="0009560A" w:rsidRPr="001F0913" w:rsidTr="00A83A65">
        <w:trPr>
          <w:gridAfter w:val="1"/>
          <w:wAfter w:w="349" w:type="dxa"/>
          <w:jc w:val="center"/>
        </w:trPr>
        <w:tc>
          <w:tcPr>
            <w:tcW w:w="4558" w:type="dxa"/>
            <w:shd w:val="clear" w:color="auto" w:fill="auto"/>
            <w:vAlign w:val="center"/>
          </w:tcPr>
          <w:p w:rsidR="0009560A" w:rsidRPr="00AA3238" w:rsidRDefault="00B13E3D" w:rsidP="00983255">
            <w:pPr>
              <w:jc w:val="center"/>
              <w:rPr>
                <w:rFonts w:ascii="Arial" w:hAnsi="Arial" w:cs="Arial"/>
                <w:b/>
                <w:sz w:val="20"/>
              </w:rPr>
            </w:pPr>
            <w:bookmarkStart w:id="3" w:name="firma1"/>
            <w:bookmarkEnd w:id="3"/>
            <w:r>
              <w:rPr>
                <w:rFonts w:ascii="Arial" w:hAnsi="Arial" w:cs="Arial"/>
                <w:b/>
                <w:sz w:val="20"/>
              </w:rPr>
              <w:t>LIC. JUAN FRANCISCO RAMIREZ SALCIDO</w:t>
            </w:r>
          </w:p>
          <w:p w:rsidR="0009560A" w:rsidRPr="00AA3238" w:rsidRDefault="00B13E3D" w:rsidP="00983255">
            <w:pPr>
              <w:jc w:val="center"/>
              <w:rPr>
                <w:rFonts w:ascii="Arial" w:hAnsi="Arial" w:cs="Arial"/>
                <w:b/>
                <w:sz w:val="20"/>
              </w:rPr>
            </w:pPr>
            <w:bookmarkStart w:id="4" w:name="Cargo1"/>
            <w:bookmarkEnd w:id="4"/>
            <w:r>
              <w:rPr>
                <w:rFonts w:ascii="Arial" w:hAnsi="Arial" w:cs="Arial"/>
                <w:b/>
                <w:sz w:val="20"/>
              </w:rPr>
              <w:t>PRESIDENTE INTERINO DEL MUNICIPIO DE GUADALAJARA</w:t>
            </w:r>
          </w:p>
        </w:tc>
        <w:tc>
          <w:tcPr>
            <w:tcW w:w="889" w:type="dxa"/>
            <w:gridSpan w:val="2"/>
            <w:shd w:val="clear" w:color="auto" w:fill="auto"/>
            <w:vAlign w:val="center"/>
          </w:tcPr>
          <w:p w:rsidR="0009560A" w:rsidRPr="001F0913" w:rsidRDefault="0009560A" w:rsidP="0009560A">
            <w:pPr>
              <w:rPr>
                <w:rFonts w:ascii="Arial" w:hAnsi="Arial" w:cs="Arial"/>
                <w:sz w:val="20"/>
              </w:rPr>
            </w:pPr>
          </w:p>
        </w:tc>
        <w:tc>
          <w:tcPr>
            <w:tcW w:w="3908" w:type="dxa"/>
            <w:gridSpan w:val="2"/>
            <w:shd w:val="clear" w:color="auto" w:fill="auto"/>
            <w:vAlign w:val="center"/>
          </w:tcPr>
          <w:p w:rsidR="0009560A" w:rsidRPr="00AA3238" w:rsidRDefault="00B13E3D" w:rsidP="00A83A65">
            <w:pPr>
              <w:ind w:right="261"/>
              <w:jc w:val="center"/>
              <w:rPr>
                <w:rFonts w:ascii="Arial" w:hAnsi="Arial" w:cs="Arial"/>
                <w:b/>
                <w:sz w:val="20"/>
              </w:rPr>
            </w:pPr>
            <w:bookmarkStart w:id="5" w:name="firma2"/>
            <w:bookmarkEnd w:id="5"/>
            <w:r>
              <w:rPr>
                <w:rFonts w:ascii="Arial" w:hAnsi="Arial" w:cs="Arial"/>
                <w:b/>
                <w:sz w:val="20"/>
              </w:rPr>
              <w:t>MTRO. LUIS GARCÌA SOTELO</w:t>
            </w:r>
          </w:p>
          <w:p w:rsidR="0009560A" w:rsidRPr="00AA3238" w:rsidRDefault="00B13E3D" w:rsidP="00983255">
            <w:pPr>
              <w:jc w:val="center"/>
              <w:rPr>
                <w:rFonts w:ascii="Arial" w:hAnsi="Arial" w:cs="Arial"/>
                <w:b/>
                <w:sz w:val="20"/>
              </w:rPr>
            </w:pPr>
            <w:bookmarkStart w:id="6" w:name="Cargo2"/>
            <w:bookmarkEnd w:id="6"/>
            <w:r>
              <w:rPr>
                <w:rFonts w:ascii="Arial" w:hAnsi="Arial" w:cs="Arial"/>
                <w:b/>
                <w:sz w:val="20"/>
              </w:rPr>
              <w:t>TESORERO MUNICIPAL</w:t>
            </w:r>
          </w:p>
        </w:tc>
      </w:tr>
    </w:tbl>
    <w:p w:rsidR="00A83A65" w:rsidRDefault="00A83A65" w:rsidP="00DC7A0D">
      <w:pPr>
        <w:jc w:val="center"/>
        <w:rPr>
          <w:rFonts w:ascii="C39HrP24DhTt" w:hAnsi="C39HrP24DhTt" w:cs="Arial"/>
          <w:sz w:val="44"/>
          <w:szCs w:val="44"/>
        </w:rPr>
      </w:pPr>
      <w:bookmarkStart w:id="7" w:name="codigo"/>
      <w:bookmarkEnd w:id="7"/>
    </w:p>
    <w:p w:rsidR="00A83A65" w:rsidRDefault="00A83A65" w:rsidP="00DC7A0D">
      <w:pPr>
        <w:jc w:val="center"/>
        <w:rPr>
          <w:rFonts w:ascii="C39HrP24DhTt" w:hAnsi="C39HrP24DhTt" w:cs="Arial"/>
          <w:sz w:val="44"/>
          <w:szCs w:val="44"/>
        </w:rPr>
      </w:pPr>
    </w:p>
    <w:p w:rsidR="0009560A" w:rsidRPr="00721735" w:rsidRDefault="00B13E3D" w:rsidP="00DC7A0D">
      <w:pPr>
        <w:jc w:val="center"/>
        <w:rPr>
          <w:rFonts w:ascii="C39HrP24DhTt" w:hAnsi="C39HrP24DhTt" w:cs="Arial"/>
          <w:sz w:val="44"/>
          <w:szCs w:val="44"/>
        </w:rPr>
      </w:pPr>
      <w:bookmarkStart w:id="8" w:name="_GoBack"/>
      <w:bookmarkEnd w:id="8"/>
      <w:r>
        <w:rPr>
          <w:rFonts w:ascii="C39HrP24DhTt" w:hAnsi="C39HrP24DhTt" w:cs="Arial"/>
          <w:sz w:val="44"/>
          <w:szCs w:val="44"/>
        </w:rPr>
        <w:t>ASEJ2024-14-22-07-2024-1</w:t>
      </w:r>
    </w:p>
    <w:p w:rsidR="008E706B" w:rsidRDefault="008E706B">
      <w:pPr>
        <w:rPr>
          <w:rFonts w:ascii="Arial" w:hAnsi="Arial" w:cs="Arial"/>
        </w:rPr>
      </w:pPr>
    </w:p>
    <w:p w:rsidR="008E706B" w:rsidRPr="00B157EC" w:rsidRDefault="008E706B" w:rsidP="008E706B">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8E706B" w:rsidRPr="007326BD" w:rsidRDefault="008E706B">
      <w:pPr>
        <w:rPr>
          <w:rFonts w:ascii="Arial" w:hAnsi="Arial" w:cs="Arial"/>
        </w:rPr>
      </w:pPr>
    </w:p>
    <w:sectPr w:rsidR="008E706B" w:rsidRPr="007326BD" w:rsidSect="0080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39HrP24DhT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1AE1"/>
    <w:multiLevelType w:val="hybridMultilevel"/>
    <w:tmpl w:val="D6E4A4BE"/>
    <w:lvl w:ilvl="0" w:tplc="A802D8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1283949"/>
    <w:multiLevelType w:val="hybridMultilevel"/>
    <w:tmpl w:val="F414335E"/>
    <w:lvl w:ilvl="0" w:tplc="C1985BB8">
      <w:start w:val="1"/>
      <w:numFmt w:val="upperRoman"/>
      <w:lvlText w:val="%1."/>
      <w:lvlJc w:val="left"/>
      <w:pPr>
        <w:ind w:left="915" w:hanging="720"/>
      </w:pPr>
      <w:rPr>
        <w:rFonts w:hint="default"/>
        <w:color w:val="000000"/>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2">
    <w:nsid w:val="797D7765"/>
    <w:multiLevelType w:val="hybridMultilevel"/>
    <w:tmpl w:val="A1AE0280"/>
    <w:lvl w:ilvl="0" w:tplc="930A80DA">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83"/>
    <w:rsid w:val="0009560A"/>
    <w:rsid w:val="00245F49"/>
    <w:rsid w:val="0040191D"/>
    <w:rsid w:val="00434AAE"/>
    <w:rsid w:val="004D1A2A"/>
    <w:rsid w:val="006628DA"/>
    <w:rsid w:val="007326BD"/>
    <w:rsid w:val="00806603"/>
    <w:rsid w:val="008A5017"/>
    <w:rsid w:val="008E706B"/>
    <w:rsid w:val="00983255"/>
    <w:rsid w:val="009F5BF2"/>
    <w:rsid w:val="00A45336"/>
    <w:rsid w:val="00A45E83"/>
    <w:rsid w:val="00A83A65"/>
    <w:rsid w:val="00AA3238"/>
    <w:rsid w:val="00B13E3D"/>
    <w:rsid w:val="00D40EF6"/>
    <w:rsid w:val="00DC7A0D"/>
    <w:rsid w:val="00EF11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40E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EF6"/>
    <w:rPr>
      <w:rFonts w:ascii="Tahoma" w:hAnsi="Tahoma" w:cs="Tahoma"/>
      <w:sz w:val="16"/>
      <w:szCs w:val="16"/>
      <w:lang w:eastAsia="en-US"/>
    </w:rPr>
  </w:style>
  <w:style w:type="paragraph" w:styleId="Prrafodelista">
    <w:name w:val="List Paragraph"/>
    <w:basedOn w:val="Normal"/>
    <w:uiPriority w:val="34"/>
    <w:qFormat/>
    <w:rsid w:val="00D40E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40E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EF6"/>
    <w:rPr>
      <w:rFonts w:ascii="Tahoma" w:hAnsi="Tahoma" w:cs="Tahoma"/>
      <w:sz w:val="16"/>
      <w:szCs w:val="16"/>
      <w:lang w:eastAsia="en-US"/>
    </w:rPr>
  </w:style>
  <w:style w:type="paragraph" w:styleId="Prrafodelista">
    <w:name w:val="List Paragraph"/>
    <w:basedOn w:val="Normal"/>
    <w:uiPriority w:val="34"/>
    <w:qFormat/>
    <w:rsid w:val="00D40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3093</Words>
  <Characters>17014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Vasquez Carrillo Mayra Elena</cp:lastModifiedBy>
  <cp:revision>7</cp:revision>
  <cp:lastPrinted>2024-07-23T17:41:00Z</cp:lastPrinted>
  <dcterms:created xsi:type="dcterms:W3CDTF">2020-05-27T16:04:00Z</dcterms:created>
  <dcterms:modified xsi:type="dcterms:W3CDTF">2024-07-23T17:53:00Z</dcterms:modified>
</cp:coreProperties>
</file>