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15EC5359" w14:textId="77777777" w:rsidTr="00A45E83">
        <w:tc>
          <w:tcPr>
            <w:tcW w:w="8978" w:type="dxa"/>
          </w:tcPr>
          <w:p w14:paraId="2BF3B65C" w14:textId="2894450E" w:rsidR="00FA2397" w:rsidRDefault="009B381A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GUADALAJARA</w:t>
            </w:r>
          </w:p>
          <w:p w14:paraId="3FA7A730" w14:textId="77777777"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1DC5A605" w14:textId="77777777"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14:paraId="427ECF87" w14:textId="5B29F6BC" w:rsidR="00A45E83" w:rsidRPr="002403D3" w:rsidRDefault="009B381A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1° DE ENERO AL 31 DE DICIEMBRE DE 2024</w:t>
            </w:r>
          </w:p>
        </w:tc>
      </w:tr>
    </w:tbl>
    <w:p w14:paraId="264646FD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2BD5220A" w14:textId="77777777" w:rsidTr="00A45E83">
        <w:tc>
          <w:tcPr>
            <w:tcW w:w="8978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0"/>
              <w:gridCol w:w="2130"/>
              <w:gridCol w:w="1780"/>
              <w:gridCol w:w="1236"/>
            </w:tblGrid>
            <w:tr w:rsidR="009B381A" w14:paraId="37659D16" w14:textId="77777777">
              <w:tc>
                <w:tcPr>
                  <w:tcW w:w="908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DC0C581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b/>
                      <w:bCs/>
                      <w:lang w:eastAsia="es-MX"/>
                    </w:rPr>
                  </w:pPr>
                  <w:bookmarkStart w:id="2" w:name="cuerpo"/>
                  <w:bookmarkEnd w:id="2"/>
                  <w:r>
                    <w:rPr>
                      <w:rFonts w:cs="Calibri"/>
                      <w:b/>
                      <w:bCs/>
                      <w:sz w:val="28"/>
                      <w:szCs w:val="28"/>
                      <w:lang w:eastAsia="es-MX"/>
                    </w:rPr>
                    <w:t>MUNICIPIO DE GUADALAJARA</w:t>
                  </w:r>
                </w:p>
              </w:tc>
            </w:tr>
            <w:tr w:rsidR="009B381A" w14:paraId="7B78DBB6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04829CF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NOTAS A LOS ESTADOS FINANCIEROS</w:t>
                  </w:r>
                </w:p>
              </w:tc>
            </w:tr>
            <w:tr w:rsidR="009B381A" w14:paraId="04C29054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691DC70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9B381A" w14:paraId="06230D40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7279F9D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DEL 1 DE ENERO 2024 AL 31 DE DICIEMBRE DE 2024</w:t>
                  </w:r>
                </w:p>
              </w:tc>
            </w:tr>
            <w:tr w:rsidR="009B381A" w14:paraId="25F72CC5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C0011B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9B381A" w14:paraId="76664000" w14:textId="77777777"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D51BE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5A722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9BDA3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CDA7A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  <w:lang w:eastAsia="es-MX"/>
                    </w:rPr>
                  </w:pPr>
                </w:p>
              </w:tc>
            </w:tr>
            <w:tr w:rsidR="009B381A" w14:paraId="0FE8A18E" w14:textId="77777777">
              <w:tc>
                <w:tcPr>
                  <w:tcW w:w="908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BB23D5B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lang w:eastAsia="es-MX"/>
                    </w:rPr>
                  </w:pPr>
                  <w:r>
                    <w:rPr>
                      <w:rFonts w:ascii="Arial" w:hAnsi="Arial" w:cs="Arial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 xml:space="preserve">Su objetivo es revelar y proporcionar información adicional que no se presenta en los Estados Financieros, pero que es relevante para la comprensión de alguno de ellos. Lo anterior para dar cumplimiento a los artículos 46, fracción I, inciso g), 47, 48 y 49 de la Ley General de Contabilidad Gubernamental (LGCG) se presentan las notas a los Estados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 xml:space="preserve">Financieros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>al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31 de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>Diciembre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de 2024.  </w:t>
                  </w:r>
                </w:p>
              </w:tc>
            </w:tr>
            <w:tr w:rsidR="009B381A" w14:paraId="5E9F9ECD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A8A81BA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Notas de Desglose </w:t>
                  </w:r>
                </w:p>
              </w:tc>
            </w:tr>
            <w:tr w:rsidR="009B381A" w14:paraId="77527E11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C9BFD55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I) Estado de Actividades </w:t>
                  </w:r>
                </w:p>
              </w:tc>
            </w:tr>
            <w:tr w:rsidR="009B381A" w14:paraId="562092BF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2BB4A5D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1.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Ingresos de Gestión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En el periodo presentado el importe correspondiente a los Impuestos, Contribuciones de Mejoras, Derechos, Productos y Aprovechamientos de la entidad suma la cantidad de $4,747 millones de pesos.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2.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Participaciones, Aportaciones, Convenios, Incentivos Derivados de la Colaboración Fiscal, Fondos Distintos de Aportaciones, Transferencias, Asignaciones, Subsidios y Subvenciones, y Pensiones y Jubilaciones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El monto correspondiente a Participaciones y Aportaciones es de $6,869.9 millones de    pesos </w:t>
                  </w:r>
                </w:p>
              </w:tc>
            </w:tr>
            <w:tr w:rsidR="009B381A" w14:paraId="3D3F19CD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AAA95BC" w14:textId="7777777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Gastos y Otras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Pérdidas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es-MX"/>
                    </w:rPr>
                    <w:t>Gastos de Funcionamiento</w:t>
                  </w:r>
                </w:p>
              </w:tc>
            </w:tr>
            <w:tr w:rsidR="009B381A" w14:paraId="41767DD1" w14:textId="77777777">
              <w:tc>
                <w:tcPr>
                  <w:tcW w:w="9082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8CD9268" w14:textId="0AEE3B07" w:rsidR="009B381A" w:rsidRDefault="009B381A" w:rsidP="009B38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En el periodo presentado el importe correspondiente a Gastos de Funcionamiento del Municipio suma la cantidad de $8,058 millones de pesos, los cuales comprenden Servicios Personales, Materiales y Suministros, así como Servicios Generales.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II)Estado de Situación Financiera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En cada uno de los conceptos se podrá apreciar su desglose: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  Activo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Efectivo y Equivalentes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lastRenderedPageBreak/>
                    <w:drawing>
                      <wp:inline distT="0" distB="0" distL="0" distR="0" wp14:anchorId="20799C3F" wp14:editId="09FEB18E">
                        <wp:extent cx="5448300" cy="1508760"/>
                        <wp:effectExtent l="0" t="0" r="0" b="0"/>
                        <wp:docPr id="1378247556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0" cy="150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Derechos a recibir Efectivo y Equivalentes y Bienes o Servicios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drawing>
                      <wp:inline distT="0" distB="0" distL="0" distR="0" wp14:anchorId="746BE62A" wp14:editId="476A2AC4">
                        <wp:extent cx="5448300" cy="1661160"/>
                        <wp:effectExtent l="0" t="0" r="0" b="0"/>
                        <wp:docPr id="1366750017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0" cy="1661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Inversiones Financieras a Largo Plazo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drawing>
                      <wp:inline distT="0" distB="0" distL="0" distR="0" wp14:anchorId="6A69CBD2" wp14:editId="6F0A2BFB">
                        <wp:extent cx="5448300" cy="807720"/>
                        <wp:effectExtent l="0" t="0" r="0" b="0"/>
                        <wp:docPr id="503512786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Bienes Inmuebles, Infraestructura y Construcciones en Proceso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drawing>
                      <wp:inline distT="0" distB="0" distL="0" distR="0" wp14:anchorId="77BD2D26" wp14:editId="2B72935D">
                        <wp:extent cx="5433060" cy="1280160"/>
                        <wp:effectExtent l="0" t="0" r="0" b="0"/>
                        <wp:docPr id="1936360176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3060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Bienes Muebles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drawing>
                      <wp:inline distT="0" distB="0" distL="0" distR="0" wp14:anchorId="2F7A004B" wp14:editId="23CB139A">
                        <wp:extent cx="5417820" cy="1836420"/>
                        <wp:effectExtent l="0" t="0" r="0" b="0"/>
                        <wp:docPr id="806731253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7820" cy="183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 Otros Activos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lastRenderedPageBreak/>
                    <w:drawing>
                      <wp:inline distT="0" distB="0" distL="0" distR="0" wp14:anchorId="766A0FE4" wp14:editId="096F4FC9">
                        <wp:extent cx="5440680" cy="1143000"/>
                        <wp:effectExtent l="0" t="0" r="7620" b="0"/>
                        <wp:docPr id="174613005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068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Pasivo  Cuentas y Documentos por pagar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drawing>
                      <wp:inline distT="0" distB="0" distL="0" distR="0" wp14:anchorId="5DF08514" wp14:editId="63EC62E2">
                        <wp:extent cx="5440680" cy="1516380"/>
                        <wp:effectExtent l="0" t="0" r="7620" b="7620"/>
                        <wp:docPr id="659310800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0680" cy="151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Fondos y Bienes de Terceros en Garantía y/o Administración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Se compone por Fondos y Bienes de Terceros en Garantía y/o Administración por $779,633.11.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Otros Pasivos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Se compone por Ingresos por clasificar por $103,367.21.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III) Notas al Estado de Variación en la Hacienda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Pública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. Modificaciones al Patrimonio Contribuido En el periodo aquí presentado asciende a $70 millones de pesos, el cual no ha sufrido modificaciones respecto al saldo del ejercicio fiscal anterior y que se integra por el registro efectuado en ejercicios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>anteriores  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. Modificaciones al Patrimonio Generado En el periodo presentado la Entidad generó un ahorro por un importe de $2,121 millones de pesos, del cual puede observarse su conformación en el Estado de Actividades.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IV) Notas al Estado de Flujos de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Efectivo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>. La integración del Efectivo y Equivalentes al Efectivo se presenta de la siguiente manera: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drawing>
                      <wp:inline distT="0" distB="0" distL="0" distR="0" wp14:anchorId="6F2E35CA" wp14:editId="0F503098">
                        <wp:extent cx="5593080" cy="1661160"/>
                        <wp:effectExtent l="0" t="0" r="7620" b="0"/>
                        <wp:docPr id="139662135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3080" cy="1661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2. Las Actividades de Inversión efectivamente pagadas respecto a los bienes muebles e inmuebles, así como los Bienes Muebles e Inmuebles adquiridos en ejercicios anteriores como Patrimonio del Municipio son las que a continuación se detallan:</w:t>
                  </w:r>
                  <w:r>
                    <w:rPr>
                      <w:rFonts w:cs="Calibri"/>
                      <w:noProof/>
                      <w:lang w:eastAsia="es-MX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lastRenderedPageBreak/>
                    <w:drawing>
                      <wp:inline distT="0" distB="0" distL="0" distR="0" wp14:anchorId="5AD28B4E" wp14:editId="5FD3C9C3">
                        <wp:extent cx="5593080" cy="3383280"/>
                        <wp:effectExtent l="0" t="0" r="7620" b="7620"/>
                        <wp:docPr id="907420055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3080" cy="3383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3. Conciliación de los Flujos de Efectivo Netos de las Actividades de Operación y los saldos de Resultados del Ejercicio Ahorro/Desahorro. 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  <w:lang w:eastAsia="es-MX"/>
                    </w:rPr>
                    <w:drawing>
                      <wp:inline distT="0" distB="0" distL="0" distR="0" wp14:anchorId="5A37122A" wp14:editId="00BEE384">
                        <wp:extent cx="5593080" cy="1973580"/>
                        <wp:effectExtent l="0" t="0" r="7620" b="7620"/>
                        <wp:docPr id="879809605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308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V) Conciliación entre los Ingresos Presupuestarios y Contables, así como entre los Egresos Presupuestarios y los Gastos Contables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s-MX"/>
                    </w:rPr>
                    <w:t xml:space="preserve"> La conciliación se presentará atendiendo a lo dispuesto por el “Acuerdo por el que se emite el formato entre los ingresos presupuestarios y contables, así como entre los egresos presupuestarios y los gastos contables” y sus modificaciones.  </w:t>
                  </w:r>
                </w:p>
              </w:tc>
            </w:tr>
          </w:tbl>
          <w:p w14:paraId="79C59330" w14:textId="77777777" w:rsidR="009B381A" w:rsidRDefault="009B381A" w:rsidP="009B3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MX"/>
              </w:rPr>
            </w:pPr>
          </w:p>
          <w:p w14:paraId="2BAC9798" w14:textId="77777777" w:rsidR="009B381A" w:rsidRDefault="009B381A" w:rsidP="009B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11E2097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7A3BD" w14:textId="77777777" w:rsidR="00A45E83" w:rsidRDefault="00A45E83">
      <w:pPr>
        <w:rPr>
          <w:rFonts w:ascii="Arial" w:hAnsi="Arial" w:cs="Arial"/>
        </w:rPr>
      </w:pPr>
    </w:p>
    <w:p w14:paraId="30A155CA" w14:textId="77777777"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14:paraId="362515AC" w14:textId="77777777" w:rsidTr="00FC59DA">
        <w:trPr>
          <w:jc w:val="center"/>
        </w:trPr>
        <w:tc>
          <w:tcPr>
            <w:tcW w:w="3794" w:type="dxa"/>
            <w:shd w:val="clear" w:color="auto" w:fill="auto"/>
          </w:tcPr>
          <w:p w14:paraId="3864EED7" w14:textId="77777777"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63923E" wp14:editId="1DEE18E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32B7A63" w14:textId="77777777"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0602D7FF" w14:textId="77777777"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3F5C72" wp14:editId="63CA502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14:paraId="0E92FA37" w14:textId="77777777" w:rsidTr="00FC59DA">
        <w:trPr>
          <w:jc w:val="center"/>
        </w:trPr>
        <w:tc>
          <w:tcPr>
            <w:tcW w:w="3794" w:type="dxa"/>
            <w:shd w:val="clear" w:color="auto" w:fill="auto"/>
          </w:tcPr>
          <w:p w14:paraId="47BD3EA0" w14:textId="705B35FC" w:rsidR="00425DF0" w:rsidRPr="00EB7BF7" w:rsidRDefault="009B381A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C. VERÓNICA DELGADILLO GARCÍA</w:t>
            </w:r>
          </w:p>
          <w:p w14:paraId="4218637B" w14:textId="1C72A0B5" w:rsidR="00425DF0" w:rsidRPr="00EB7BF7" w:rsidRDefault="009B381A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PRESIDENTA MUNICIPAL DE GUADALAJARA</w:t>
            </w:r>
          </w:p>
        </w:tc>
        <w:tc>
          <w:tcPr>
            <w:tcW w:w="1276" w:type="dxa"/>
            <w:shd w:val="clear" w:color="auto" w:fill="auto"/>
          </w:tcPr>
          <w:p w14:paraId="3CAD39FA" w14:textId="77777777"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5C9612EC" w14:textId="7632F875" w:rsidR="00425DF0" w:rsidRPr="00EB7BF7" w:rsidRDefault="009B381A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MTRO. RICARDO RODRÍGUEZ JIMÉNEZ</w:t>
            </w:r>
          </w:p>
          <w:p w14:paraId="0460BF2E" w14:textId="748C117F" w:rsidR="001F0913" w:rsidRPr="00EB7BF7" w:rsidRDefault="009B381A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TESORERO MUNICIPAL</w:t>
            </w:r>
          </w:p>
        </w:tc>
      </w:tr>
    </w:tbl>
    <w:p w14:paraId="3795D3CB" w14:textId="77777777"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14:paraId="10F990E8" w14:textId="77777777" w:rsidTr="003F7AB9">
        <w:tc>
          <w:tcPr>
            <w:tcW w:w="8978" w:type="dxa"/>
            <w:shd w:val="clear" w:color="auto" w:fill="auto"/>
          </w:tcPr>
          <w:p w14:paraId="09EAD4FD" w14:textId="3C883BDC" w:rsidR="00721735" w:rsidRPr="00721735" w:rsidRDefault="009B381A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7" w:name="codigo"/>
            <w:bookmarkEnd w:id="7"/>
            <w:r>
              <w:rPr>
                <w:rFonts w:ascii="C39HrP24DhTt" w:hAnsi="C39HrP24DhTt" w:cs="Arial"/>
                <w:sz w:val="44"/>
                <w:szCs w:val="44"/>
              </w:rPr>
              <w:t>ASEJ2024-17-14-05-2025-1</w:t>
            </w:r>
          </w:p>
        </w:tc>
      </w:tr>
    </w:tbl>
    <w:p w14:paraId="5138C116" w14:textId="77777777" w:rsidR="00425DF0" w:rsidRDefault="00425DF0" w:rsidP="00B157EC">
      <w:pPr>
        <w:rPr>
          <w:rFonts w:ascii="Arial" w:hAnsi="Arial" w:cs="Arial"/>
          <w:sz w:val="20"/>
        </w:rPr>
      </w:pPr>
    </w:p>
    <w:p w14:paraId="09545AA9" w14:textId="77777777"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0426CDEE" w14:textId="77777777" w:rsidR="00B157EC" w:rsidRDefault="00B157EC">
      <w:pPr>
        <w:rPr>
          <w:rFonts w:ascii="Arial" w:hAnsi="Arial" w:cs="Arial"/>
        </w:rPr>
      </w:pPr>
    </w:p>
    <w:p w14:paraId="5FB6D057" w14:textId="77777777"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54D51"/>
    <w:rsid w:val="001213FD"/>
    <w:rsid w:val="00150A8F"/>
    <w:rsid w:val="001F0913"/>
    <w:rsid w:val="001F5C2A"/>
    <w:rsid w:val="002403D3"/>
    <w:rsid w:val="002E6C50"/>
    <w:rsid w:val="00301134"/>
    <w:rsid w:val="003F7AB9"/>
    <w:rsid w:val="0040191D"/>
    <w:rsid w:val="004073AF"/>
    <w:rsid w:val="00425DF0"/>
    <w:rsid w:val="004F03A7"/>
    <w:rsid w:val="005056F4"/>
    <w:rsid w:val="00523D61"/>
    <w:rsid w:val="00536F66"/>
    <w:rsid w:val="005B33F8"/>
    <w:rsid w:val="00721735"/>
    <w:rsid w:val="007326BD"/>
    <w:rsid w:val="007E4F17"/>
    <w:rsid w:val="00806603"/>
    <w:rsid w:val="008F25FF"/>
    <w:rsid w:val="009B381A"/>
    <w:rsid w:val="00A45E83"/>
    <w:rsid w:val="00B157EC"/>
    <w:rsid w:val="00B35761"/>
    <w:rsid w:val="00BA7910"/>
    <w:rsid w:val="00CD584F"/>
    <w:rsid w:val="00D2796E"/>
    <w:rsid w:val="00D64D9B"/>
    <w:rsid w:val="00DD33BB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7327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Carlos Loreto Martínez</cp:lastModifiedBy>
  <cp:revision>2</cp:revision>
  <dcterms:created xsi:type="dcterms:W3CDTF">2025-05-15T05:56:00Z</dcterms:created>
  <dcterms:modified xsi:type="dcterms:W3CDTF">2025-05-15T05:56:00Z</dcterms:modified>
</cp:coreProperties>
</file>