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FA2397" w:rsidRDefault="00657CA4" w:rsidP="00301134">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GUADALAJARA</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657CA4"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657CA4" w:rsidRDefault="00657CA4" w:rsidP="00657CA4">
            <w:pPr>
              <w:autoSpaceDE w:val="0"/>
              <w:autoSpaceDN w:val="0"/>
              <w:adjustRightInd w:val="0"/>
              <w:jc w:val="center"/>
              <w:rPr>
                <w:rFonts w:cs="Calibri"/>
                <w:noProof/>
                <w:lang w:eastAsia="es-MX"/>
              </w:rPr>
            </w:pPr>
            <w:bookmarkStart w:id="3" w:name="cuerpo"/>
            <w:bookmarkEnd w:id="3"/>
          </w:p>
          <w:p w:rsidR="00657CA4" w:rsidRDefault="00657CA4" w:rsidP="00657CA4">
            <w:pPr>
              <w:autoSpaceDE w:val="0"/>
              <w:autoSpaceDN w:val="0"/>
              <w:adjustRightInd w:val="0"/>
              <w:spacing w:after="0" w:line="240" w:lineRule="auto"/>
              <w:rPr>
                <w:rFonts w:cs="Calibri"/>
                <w:noProof/>
                <w:lang w:eastAsia="es-MX"/>
              </w:rPr>
            </w:pPr>
            <w:r>
              <w:rPr>
                <w:rFonts w:ascii="Arial" w:hAnsi="Arial" w:cs="Arial"/>
                <w:noProof/>
                <w:sz w:val="23"/>
                <w:szCs w:val="23"/>
                <w:lang w:eastAsia="es-MX"/>
              </w:rPr>
              <w:drawing>
                <wp:inline distT="0" distB="0" distL="0" distR="0">
                  <wp:extent cx="1143000" cy="1733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733550"/>
                          </a:xfrm>
                          <a:prstGeom prst="rect">
                            <a:avLst/>
                          </a:prstGeom>
                          <a:noFill/>
                          <a:ln>
                            <a:noFill/>
                          </a:ln>
                        </pic:spPr>
                      </pic:pic>
                    </a:graphicData>
                  </a:graphic>
                </wp:inline>
              </w:drawing>
            </w:r>
          </w:p>
          <w:p w:rsidR="00657CA4" w:rsidRDefault="00657CA4" w:rsidP="00657CA4">
            <w:pPr>
              <w:autoSpaceDE w:val="0"/>
              <w:autoSpaceDN w:val="0"/>
              <w:adjustRightInd w:val="0"/>
              <w:jc w:val="center"/>
              <w:rPr>
                <w:rFonts w:cs="Calibri"/>
                <w:b/>
                <w:bCs/>
                <w:sz w:val="24"/>
                <w:szCs w:val="24"/>
                <w:lang w:eastAsia="es-MX"/>
              </w:rPr>
            </w:pPr>
            <w:r>
              <w:rPr>
                <w:rFonts w:cs="Calibri"/>
                <w:b/>
                <w:bCs/>
                <w:sz w:val="24"/>
                <w:szCs w:val="24"/>
                <w:lang w:eastAsia="es-MX"/>
              </w:rPr>
              <w:t>NOTAS A LOS ESTADOS FINANCIEROS DE DESGLOSE</w:t>
            </w:r>
          </w:p>
          <w:p w:rsidR="00657CA4" w:rsidRDefault="00657CA4" w:rsidP="00657CA4">
            <w:pPr>
              <w:autoSpaceDE w:val="0"/>
              <w:autoSpaceDN w:val="0"/>
              <w:adjustRightInd w:val="0"/>
              <w:jc w:val="center"/>
              <w:rPr>
                <w:rFonts w:cs="Calibri"/>
                <w:b/>
                <w:bCs/>
                <w:sz w:val="24"/>
                <w:szCs w:val="24"/>
                <w:lang w:eastAsia="es-MX"/>
              </w:rPr>
            </w:pPr>
            <w:r>
              <w:rPr>
                <w:rFonts w:cs="Calibri"/>
                <w:b/>
                <w:bCs/>
                <w:sz w:val="24"/>
                <w:szCs w:val="24"/>
                <w:lang w:eastAsia="es-MX"/>
              </w:rPr>
              <w:t>DEL 01 DE ENERO AL 31 DE DICIEMBRE</w:t>
            </w:r>
          </w:p>
          <w:p w:rsidR="00657CA4" w:rsidRDefault="00657CA4" w:rsidP="00657CA4">
            <w:pPr>
              <w:autoSpaceDE w:val="0"/>
              <w:autoSpaceDN w:val="0"/>
              <w:adjustRightInd w:val="0"/>
              <w:jc w:val="center"/>
              <w:rPr>
                <w:rFonts w:cs="Calibri"/>
                <w:b/>
                <w:bCs/>
                <w:sz w:val="24"/>
                <w:szCs w:val="24"/>
                <w:lang w:eastAsia="es-MX"/>
              </w:rPr>
            </w:pPr>
            <w:r>
              <w:rPr>
                <w:rFonts w:cs="Calibri"/>
                <w:b/>
                <w:bCs/>
                <w:sz w:val="24"/>
                <w:szCs w:val="24"/>
                <w:lang w:eastAsia="es-MX"/>
              </w:rPr>
              <w:t xml:space="preserve"> DE 2023 </w:t>
            </w:r>
          </w:p>
          <w:p w:rsidR="00657CA4" w:rsidRDefault="00657CA4" w:rsidP="00657CA4">
            <w:pPr>
              <w:autoSpaceDE w:val="0"/>
              <w:autoSpaceDN w:val="0"/>
              <w:adjustRightInd w:val="0"/>
              <w:rPr>
                <w:rFonts w:cs="Calibri"/>
                <w:lang w:eastAsia="es-MX"/>
              </w:rPr>
            </w:pPr>
          </w:p>
          <w:p w:rsidR="00657CA4" w:rsidRDefault="00657CA4" w:rsidP="00657CA4">
            <w:pPr>
              <w:autoSpaceDE w:val="0"/>
              <w:autoSpaceDN w:val="0"/>
              <w:adjustRightInd w:val="0"/>
              <w:rPr>
                <w:rFonts w:ascii="Arial" w:hAnsi="Arial" w:cs="Arial"/>
                <w:lang w:eastAsia="es-MX"/>
              </w:rPr>
            </w:pPr>
            <w:r>
              <w:rPr>
                <w:rFonts w:ascii="Arial" w:hAnsi="Arial" w:cs="Arial"/>
                <w:lang w:eastAsia="es-MX"/>
              </w:rPr>
              <w:t>En virtud de las Disposiciones de la Auditoria Superior del Estado de Jalisco, los comparativos se presentan con las cifras de la Balanza General al 31 de Diciembre de 2022:</w:t>
            </w:r>
          </w:p>
          <w:p w:rsidR="00657CA4" w:rsidRDefault="00657CA4" w:rsidP="00657CA4">
            <w:pPr>
              <w:autoSpaceDE w:val="0"/>
              <w:autoSpaceDN w:val="0"/>
              <w:adjustRightInd w:val="0"/>
              <w:ind w:left="360"/>
              <w:rPr>
                <w:rFonts w:ascii="Arial" w:hAnsi="Arial" w:cs="Arial"/>
                <w:lang w:eastAsia="es-MX"/>
              </w:rPr>
            </w:pPr>
            <w:r>
              <w:rPr>
                <w:rFonts w:ascii="Arial" w:hAnsi="Arial" w:cs="Arial"/>
                <w:lang w:eastAsia="es-MX"/>
              </w:rPr>
              <w:t xml:space="preserve">.  </w:t>
            </w:r>
          </w:p>
          <w:p w:rsidR="00657CA4" w:rsidRDefault="00657CA4" w:rsidP="00657CA4">
            <w:pPr>
              <w:autoSpaceDE w:val="0"/>
              <w:autoSpaceDN w:val="0"/>
              <w:adjustRightInd w:val="0"/>
              <w:ind w:left="1080"/>
              <w:rPr>
                <w:rFonts w:ascii="Arial" w:hAnsi="Arial" w:cs="Arial"/>
                <w:b/>
                <w:bCs/>
                <w:lang w:eastAsia="es-MX"/>
              </w:rPr>
            </w:pPr>
          </w:p>
          <w:p w:rsidR="00657CA4" w:rsidRDefault="00657CA4" w:rsidP="00657CA4">
            <w:pPr>
              <w:autoSpaceDE w:val="0"/>
              <w:autoSpaceDN w:val="0"/>
              <w:adjustRightInd w:val="0"/>
              <w:ind w:left="1080" w:hanging="720"/>
              <w:rPr>
                <w:rFonts w:ascii="Arial" w:hAnsi="Arial" w:cs="Arial"/>
                <w:b/>
                <w:bCs/>
                <w:lang w:eastAsia="es-MX"/>
              </w:rPr>
            </w:pPr>
            <w:r>
              <w:rPr>
                <w:rFonts w:ascii="Arial" w:hAnsi="Arial" w:cs="Arial"/>
                <w:b/>
                <w:bCs/>
                <w:lang w:eastAsia="es-MX"/>
              </w:rPr>
              <w:t>I)</w:t>
            </w:r>
            <w:r>
              <w:rPr>
                <w:rFonts w:ascii="Arial" w:hAnsi="Arial" w:cs="Arial"/>
                <w:b/>
                <w:bCs/>
                <w:lang w:eastAsia="es-MX"/>
              </w:rPr>
              <w:tab/>
              <w:t>Estado de Actividades.</w:t>
            </w:r>
          </w:p>
          <w:p w:rsidR="00657CA4" w:rsidRDefault="00657CA4" w:rsidP="00657CA4">
            <w:pPr>
              <w:autoSpaceDE w:val="0"/>
              <w:autoSpaceDN w:val="0"/>
              <w:adjustRightInd w:val="0"/>
              <w:ind w:left="360"/>
              <w:rPr>
                <w:rFonts w:ascii="Arial" w:hAnsi="Arial" w:cs="Arial"/>
                <w:lang w:eastAsia="es-MX"/>
              </w:rPr>
            </w:pPr>
            <w:r>
              <w:rPr>
                <w:rFonts w:ascii="Arial" w:hAnsi="Arial" w:cs="Arial"/>
                <w:lang w:eastAsia="es-MX"/>
              </w:rPr>
              <w:t>El desglose las cuentas de resultados  se presentan a nivel de concepto de cobro, se proporciona en el Propio Estado de Actividades.</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Intereses, comisiones y otros gastos de la Deuda.</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 xml:space="preserve">Los intereses pagados en el ejercicio por concepto de intereses de la deuda asciende a </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$ 144,106,863.84</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Ingresos Excedentes: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Son los recursos que durante el ejercicio fiscal se obtienen en exceso de los aprobados en la Ley y, de conformidad con la Ley de Disciplina Financiera, los derivados de </w:t>
            </w:r>
            <w:r>
              <w:rPr>
                <w:rFonts w:ascii="Arial" w:hAnsi="Arial" w:cs="Arial"/>
                <w:lang w:eastAsia="es-MX"/>
              </w:rPr>
              <w:lastRenderedPageBreak/>
              <w:t>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Dichos excedentes podrán destinarse a reducir el balance presupuestario de recursos disponibles negativo de ejercicios anteriores, a partir de la entrada en vigor de esta Ley y hasta el ejercicios fiscal 2023.</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En caso de subsistir remanente aplicara:</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a)</w:t>
            </w:r>
            <w:r>
              <w:rPr>
                <w:rFonts w:ascii="Arial" w:hAnsi="Arial" w:cs="Arial"/>
                <w:lang w:eastAsia="es-MX"/>
              </w:rPr>
              <w:tab/>
              <w:t>Inversión pública productiva, a través de un fondo que se constituye para tal efecto, con el fin de que los recursos correspondientes se ejerzan a más tardar en el ejercicio inmediato siguientes, y</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b)</w:t>
            </w:r>
            <w:r>
              <w:rPr>
                <w:rFonts w:ascii="Arial" w:hAnsi="Arial" w:cs="Arial"/>
                <w:lang w:eastAsia="es-MX"/>
              </w:rPr>
              <w:tab/>
              <w:t>La Creación de un fondo cuyo objetivo sea compensar la caída de ingresos de libre disposición de ejercicios subsecuentes.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Los ingresos excedentes derivados de ingresos de libre disposición podrán destinarse a los rubros  mencionados en el presente artículo, sin limitación alguna, siempre y cuando en ente público se clasifique en un nivel de endeudamiento sostenible de acuerdo al Sistemas Alertas.</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Pr>
                <w:rFonts w:ascii="Arial" w:hAnsi="Arial" w:cs="Arial"/>
                <w:b/>
                <w:bCs/>
                <w:lang w:eastAsia="es-MX"/>
              </w:rPr>
              <w:tab/>
              <w:t>NOTAS AL ESTADO DE SITUACION FINANCIERA</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ACTIVO</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Efectivo y Equivalente:</w:t>
            </w:r>
          </w:p>
          <w:p w:rsidR="00657CA4" w:rsidRDefault="00657CA4" w:rsidP="00657CA4">
            <w:pPr>
              <w:autoSpaceDE w:val="0"/>
              <w:autoSpaceDN w:val="0"/>
              <w:adjustRightInd w:val="0"/>
              <w:spacing w:after="0" w:line="240" w:lineRule="auto"/>
              <w:rPr>
                <w:rFonts w:ascii="Arial" w:hAnsi="Arial" w:cs="Arial"/>
                <w:i/>
                <w:iCs/>
                <w:lang w:eastAsia="es-MX"/>
              </w:rPr>
            </w:pPr>
            <w:r>
              <w:rPr>
                <w:rFonts w:ascii="Arial" w:hAnsi="Arial" w:cs="Arial"/>
                <w:i/>
                <w:iCs/>
                <w:lang w:eastAsia="es-MX"/>
              </w:rPr>
              <w:t>Su importe se analiza a continuación con cifras: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31"/>
              <w:gridCol w:w="1829"/>
            </w:tblGrid>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684,508.77</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188,457,656.13</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14,543,463.05</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Afectación especifica</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137,939.59 </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en Fondos de Terceros en Garantía y/o Administración</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15,245,659.80 </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625,961.60</w:t>
                  </w:r>
                </w:p>
              </w:tc>
            </w:tr>
            <w:tr w:rsidR="00657CA4">
              <w:tblPrEx>
                <w:tblCellMar>
                  <w:top w:w="0" w:type="dxa"/>
                  <w:bottom w:w="0" w:type="dxa"/>
                </w:tblCellMar>
              </w:tblPrEx>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efectivo y equivalentes</w:t>
                  </w:r>
                </w:p>
              </w:tc>
              <w:tc>
                <w:tcPr>
                  <w:tcW w:w="182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Derechos a Recibir Efectivo y Equivalentes a Corto Plazo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lastRenderedPageBreak/>
              <w:t>Comprende las siguientes cuentas con cifras preliminares:</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Cuentas por cobrar a corto plazo:</w:t>
            </w:r>
          </w:p>
          <w:tbl>
            <w:tblPr>
              <w:tblW w:w="0" w:type="auto"/>
              <w:tblCellMar>
                <w:left w:w="70" w:type="dxa"/>
                <w:right w:w="70" w:type="dxa"/>
              </w:tblCellMar>
              <w:tblLook w:val="0000" w:firstRow="0" w:lastRow="0" w:firstColumn="0" w:lastColumn="0" w:noHBand="0" w:noVBand="0"/>
            </w:tblPr>
            <w:tblGrid>
              <w:gridCol w:w="6394"/>
              <w:gridCol w:w="2268"/>
            </w:tblGrid>
            <w:tr w:rsidR="00657CA4">
              <w:tblPrEx>
                <w:tblCellMar>
                  <w:top w:w="0" w:type="dxa"/>
                  <w:bottom w:w="0" w:type="dxa"/>
                </w:tblCellMar>
              </w:tblPrEx>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Cheques Devueltos</w:t>
                  </w:r>
                </w:p>
              </w:tc>
              <w:tc>
                <w:tcPr>
                  <w:tcW w:w="2268"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170,307.38</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Recaudación por Terceros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250,539.17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Programa de apoyo a comerciantes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1,679,600.00</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 erróneas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308,394.15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Instituciones Bancarias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70,546.97</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SEPAF por participaciones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1,638,537.38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Contratos o convenios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34,136.78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Venta de Bienes y Prestación de Servicios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2,205.30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Recursos monetarios federales robados o extraviados</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7,740.66 </w:t>
                  </w:r>
                </w:p>
              </w:tc>
            </w:tr>
            <w:tr w:rsidR="00657CA4">
              <w:tblPrEx>
                <w:tblCellMar>
                  <w:top w:w="0" w:type="dxa"/>
                  <w:bottom w:w="0" w:type="dxa"/>
                </w:tblCellMar>
              </w:tblPrEx>
              <w:tc>
                <w:tcPr>
                  <w:tcW w:w="6394"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 por cobrar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4,162,007.79</w:t>
                  </w:r>
                </w:p>
              </w:tc>
            </w:tr>
            <w:tr w:rsidR="00657CA4">
              <w:tblPrEx>
                <w:tblCellMar>
                  <w:top w:w="0" w:type="dxa"/>
                  <w:bottom w:w="0" w:type="dxa"/>
                </w:tblCellMar>
              </w:tblPrEx>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p>
              </w:tc>
            </w:tr>
            <w:tr w:rsidR="00657CA4">
              <w:tblPrEx>
                <w:tblCellMar>
                  <w:top w:w="0" w:type="dxa"/>
                  <w:bottom w:w="0" w:type="dxa"/>
                </w:tblCellMar>
              </w:tblPrEx>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Diversos por cobrar a corto pazo</w:t>
                  </w:r>
                </w:p>
              </w:tc>
              <w:tc>
                <w:tcPr>
                  <w:tcW w:w="2268"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10,432,288.98</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Ingresos por recupera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5,271,721.25 </w:t>
                  </w:r>
                </w:p>
              </w:tc>
            </w:tr>
            <w:tr w:rsidR="00657CA4">
              <w:tblPrEx>
                <w:tblCellMar>
                  <w:top w:w="0" w:type="dxa"/>
                  <w:bottom w:w="0" w:type="dxa"/>
                </w:tblCellMar>
              </w:tblPrEx>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por Anticipos de la tesorería a corto plazo</w:t>
                  </w:r>
                </w:p>
              </w:tc>
              <w:tc>
                <w:tcPr>
                  <w:tcW w:w="2268"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198,538.93 </w:t>
                  </w:r>
                </w:p>
              </w:tc>
            </w:tr>
            <w:tr w:rsidR="00657CA4">
              <w:tblPrEx>
                <w:tblCellMar>
                  <w:top w:w="0" w:type="dxa"/>
                  <w:bottom w:w="0" w:type="dxa"/>
                </w:tblCellMar>
              </w:tblPrEx>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r>
            <w:tr w:rsidR="00657CA4">
              <w:tblPrEx>
                <w:tblCellMar>
                  <w:top w:w="0" w:type="dxa"/>
                  <w:bottom w:w="0" w:type="dxa"/>
                </w:tblCellMar>
              </w:tblPrEx>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Derechos a recibir efectivo y equivalentes a corto plazo</w:t>
                  </w: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20,064,556.95 </w:t>
                  </w:r>
                </w:p>
              </w:tc>
            </w:tr>
          </w:tbl>
          <w:p w:rsidR="00657CA4" w:rsidRDefault="00657CA4" w:rsidP="00657CA4">
            <w:pPr>
              <w:autoSpaceDE w:val="0"/>
              <w:autoSpaceDN w:val="0"/>
              <w:adjustRightInd w:val="0"/>
              <w:jc w:val="both"/>
              <w:rPr>
                <w:rFonts w:ascii="Arial" w:hAnsi="Arial" w:cs="Arial"/>
                <w:b/>
                <w:bCs/>
                <w:i/>
                <w:i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 El activo no Circulante comprende lo siguiente:</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Inversiones Financieras a largo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saldo al 31 de Diciembre de 2023, principalmente, comprende las aportaciones realizadas en ejercicios anteriores, a los fideicomisos que se mencionan a continuación, así como las operaciones realizadas de conformidad con su objeto:</w:t>
            </w:r>
          </w:p>
          <w:tbl>
            <w:tblPr>
              <w:tblW w:w="0" w:type="auto"/>
              <w:tblCellMar>
                <w:left w:w="70" w:type="dxa"/>
                <w:right w:w="70" w:type="dxa"/>
              </w:tblCellMar>
              <w:tblLook w:val="0000" w:firstRow="0" w:lastRow="0" w:firstColumn="0" w:lastColumn="0" w:noHBand="0" w:noVBand="0"/>
            </w:tblPr>
            <w:tblGrid>
              <w:gridCol w:w="6620"/>
              <w:gridCol w:w="1780"/>
            </w:tblGrid>
            <w:tr w:rsidR="00657CA4">
              <w:tblPrEx>
                <w:tblCellMar>
                  <w:top w:w="0" w:type="dxa"/>
                  <w:bottom w:w="0" w:type="dxa"/>
                </w:tblCellMar>
              </w:tblPrEx>
              <w:tc>
                <w:tcPr>
                  <w:tcW w:w="66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de Turismo Zona metropolitana de Guadalajara</w:t>
                  </w:r>
                </w:p>
              </w:tc>
              <w:tc>
                <w:tcPr>
                  <w:tcW w:w="178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$23,560.18</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BBVA 403248-8 Cta. 1000630551</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$1,723,549.58</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Invex. Fideicomiso 1555/ BANORTE 666918176</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sz w:val="20"/>
                      <w:szCs w:val="20"/>
                      <w:lang w:eastAsia="es-MX"/>
                    </w:rPr>
                  </w:pPr>
                  <w:r>
                    <w:rPr>
                      <w:rFonts w:ascii="Arial" w:hAnsi="Arial" w:cs="Arial"/>
                      <w:sz w:val="20"/>
                      <w:szCs w:val="20"/>
                      <w:lang w:eastAsia="es-MX"/>
                    </w:rPr>
                    <w:t>$17,079,831.67</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Cta eje Multiva 6919774 fideicomiso 4372</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$93,773,525.79</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Invex, Fideicomiso 1555/Cta. 680009137</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$315,815,07</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Invex Fid. 1555/Fondo de reserva Cta. 0682915568</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$615,180.81</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$8,000,000.00</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Expo-Guadalajara</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$142,155,865.75</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 (programa CUIDEMOS TU EMPLEO)</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$8,859,407.51</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r>
            <w:tr w:rsidR="00657CA4">
              <w:tblPrEx>
                <w:tblCellMar>
                  <w:top w:w="0" w:type="dxa"/>
                  <w:bottom w:w="0" w:type="dxa"/>
                </w:tblCellMar>
              </w:tblPrEx>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$272,546,736.36</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Inmuebles, Infraestructura y Construcciones en Proceso.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importe de estos bienes al 31 de Diciembre de 2023, se desglosa a continuación: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Terrenos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$389,839,742.58</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Edificios no Habitacionales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$1,297,424,423.35</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Infraestructura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$3,940,485,680.18</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de Dominio Publico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$2,502,114,880.43</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$10,408,075.63</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no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$1,444,912,765.65</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Construcciones de obras para el abastecimiento de Agua,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$148,312,482.50</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División de Terrenos y Construcción de Obras de Urbanización</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$179,648,349.56</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Construcción de Vías de Comunicación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$635,182,621.34</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Construcciones de Ingeniería civil y obra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$49,481,382.05</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Trabajos de Acabados en edificaciones y otros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$34,169,203.70</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en bienes propios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$237,883,050.19</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inmuebles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$8,367,747,776.73</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muebles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saldo se integra como describe: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00"/>
              <w:gridCol w:w="2122"/>
            </w:tblGrid>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 y equipo de administración</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$499,128,532.67</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Mobiliarios y equipo Educaciones y recreativo</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$131,414,635.86</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e Instrumental médico y de laboratorio</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$81,555,555.83</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Vehículos y equipo de transporte</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$803,468,520.03</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de Defensa y seguridad</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$107,534,755.29</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Maquinaria, otros equipos y herramientas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$483,655,759.04</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Colecciones, obras arte y objetos valiosos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$29,273,238.23</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Activos Biológicos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$1,233,136.10</w:t>
                  </w:r>
                </w:p>
              </w:tc>
            </w:tr>
            <w:tr w:rsidR="00657CA4">
              <w:tblPrEx>
                <w:tblCellMar>
                  <w:top w:w="0" w:type="dxa"/>
                  <w:bottom w:w="0" w:type="dxa"/>
                </w:tblCellMar>
              </w:tblPrEx>
              <w:tc>
                <w:tcPr>
                  <w:tcW w:w="610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muebles</w:t>
                  </w:r>
                </w:p>
              </w:tc>
              <w:tc>
                <w:tcPr>
                  <w:tcW w:w="212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$2,137,264,133.05</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Estimaciones y Deterioros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No se tiene inidentificadas causas de deterioro que afecten el valor de los activos reconocidos contablemente, que son propiedad del Municipio.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Otros Activos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importe se refiere, principalmente, a cierto software adquirido por el Municipio y los derechos pagados por  el registro de la patente de la mascota oficial de los Juegos Panamericanos 2011.</w:t>
            </w:r>
          </w:p>
          <w:p w:rsidR="00657CA4" w:rsidRDefault="00657CA4" w:rsidP="00657CA4">
            <w:pPr>
              <w:autoSpaceDE w:val="0"/>
              <w:autoSpaceDN w:val="0"/>
              <w:adjustRightInd w:val="0"/>
              <w:jc w:val="both"/>
              <w:rPr>
                <w:rFonts w:ascii="Arial" w:hAnsi="Arial" w:cs="Arial"/>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Software</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$72,551,469.53</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Patentes, Marcas y Derechos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$15,256,513.12</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Concesiones y Franquicias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$86,727,196.57</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Licencias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$5,291,245.37</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Otros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$8,431,710.40</w:t>
                  </w:r>
                </w:p>
              </w:tc>
            </w:tr>
            <w:tr w:rsidR="00657CA4">
              <w:tblPrEx>
                <w:tblCellMar>
                  <w:top w:w="0" w:type="dxa"/>
                  <w:bottom w:w="0" w:type="dxa"/>
                </w:tblCellMar>
              </w:tblPrEx>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 de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$188,258,134.99</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PASIVO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Cuentas y Documentos por pagar a corto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 Las cuentas y documentos por pagar a corto plazo, al 31 de Diciembre de 2023 se integran como sigue: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0"/>
              <w:gridCol w:w="2282"/>
            </w:tblGrid>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Servicios personales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$90,714,988.20</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Proveedores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$207,134,682.32</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Contratistas por obas públicas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$51,745,614.08</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Transferencias otorgadas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$92,378,909.62</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Retenciones y contribuciones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$117,919,421.04</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Devolución de la ley de ingresos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$8,703,218.73</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$4,531,083.42</w:t>
                  </w:r>
                </w:p>
              </w:tc>
            </w:tr>
            <w:tr w:rsidR="00657CA4">
              <w:tblPrEx>
                <w:tblCellMar>
                  <w:top w:w="0" w:type="dxa"/>
                  <w:bottom w:w="0" w:type="dxa"/>
                </w:tblCellMar>
              </w:tblPrEx>
              <w:tc>
                <w:tcPr>
                  <w:tcW w:w="638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$573,127,917.41</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tiene detectadas ciertas situaciones que derivando en el registro contable de pasivos que a la fecha no son exigibles y que han sido cuantificados</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Deuda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conforma como a continuación se señala:</w:t>
            </w:r>
          </w:p>
          <w:tbl>
            <w:tblPr>
              <w:tblW w:w="0" w:type="auto"/>
              <w:tblCellMar>
                <w:left w:w="70" w:type="dxa"/>
                <w:right w:w="70" w:type="dxa"/>
              </w:tblCellMar>
              <w:tblLook w:val="0000" w:firstRow="0" w:lastRow="0" w:firstColumn="0" w:lastColumn="0" w:noHBand="0" w:noVBand="0"/>
            </w:tblPr>
            <w:tblGrid>
              <w:gridCol w:w="2998"/>
              <w:gridCol w:w="1758"/>
              <w:gridCol w:w="1995"/>
              <w:gridCol w:w="1995"/>
            </w:tblGrid>
            <w:tr w:rsidR="00657CA4">
              <w:tblPrEx>
                <w:tblCellMar>
                  <w:top w:w="0" w:type="dxa"/>
                  <w:bottom w:w="0" w:type="dxa"/>
                </w:tblCellMar>
              </w:tblPrEx>
              <w:tc>
                <w:tcPr>
                  <w:tcW w:w="342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Institución Bancaria</w:t>
                  </w:r>
                </w:p>
              </w:tc>
              <w:tc>
                <w:tcPr>
                  <w:tcW w:w="18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Corto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Largo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w:t>
                  </w:r>
                </w:p>
              </w:tc>
            </w:tr>
            <w:tr w:rsidR="00657CA4">
              <w:tblPrEx>
                <w:tblCellMar>
                  <w:top w:w="0" w:type="dxa"/>
                  <w:bottom w:w="0" w:type="dxa"/>
                </w:tblCellMar>
              </w:tblPrEx>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BBVA Bancomer</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 </w:t>
                  </w:r>
                </w:p>
              </w:tc>
            </w:tr>
            <w:tr w:rsidR="00657CA4">
              <w:tblPrEx>
                <w:tblCellMar>
                  <w:top w:w="0" w:type="dxa"/>
                  <w:bottom w:w="0" w:type="dxa"/>
                </w:tblCellMar>
              </w:tblPrEx>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 Mercantil de Norte</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432,870,495.24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432,870,495.24</w:t>
                  </w:r>
                </w:p>
              </w:tc>
            </w:tr>
            <w:tr w:rsidR="00657CA4">
              <w:tblPrEx>
                <w:tblCellMar>
                  <w:top w:w="0" w:type="dxa"/>
                  <w:bottom w:w="0" w:type="dxa"/>
                </w:tblCellMar>
              </w:tblPrEx>
              <w:tc>
                <w:tcPr>
                  <w:tcW w:w="3420" w:type="dxa"/>
                  <w:tcBorders>
                    <w:top w:val="nil"/>
                    <w:left w:val="single" w:sz="6" w:space="0" w:color="auto"/>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Banobras 1173822853</w:t>
                  </w:r>
                </w:p>
              </w:tc>
              <w:tc>
                <w:tcPr>
                  <w:tcW w:w="18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22,931,847.21</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22,931,847.21 </w:t>
                  </w:r>
                </w:p>
              </w:tc>
            </w:tr>
            <w:tr w:rsidR="00657CA4">
              <w:tblPrEx>
                <w:tblCellMar>
                  <w:top w:w="0" w:type="dxa"/>
                  <w:bottom w:w="0" w:type="dxa"/>
                </w:tblCellMar>
              </w:tblPrEx>
              <w:tc>
                <w:tcPr>
                  <w:tcW w:w="34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8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22,931,847.21 </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$1,138,850,072.94 </w:t>
                  </w:r>
                </w:p>
              </w:tc>
              <w:tc>
                <w:tcPr>
                  <w:tcW w:w="20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$1,161,781,920.15 </w:t>
                  </w:r>
                </w:p>
              </w:tc>
            </w:tr>
          </w:tbl>
          <w:p w:rsidR="00657CA4" w:rsidRDefault="00657CA4" w:rsidP="00657CA4">
            <w:pPr>
              <w:autoSpaceDE w:val="0"/>
              <w:autoSpaceDN w:val="0"/>
              <w:adjustRightInd w:val="0"/>
              <w:jc w:val="both"/>
              <w:rPr>
                <w:rFonts w:ascii="Arial" w:hAnsi="Arial" w:cs="Arial"/>
                <w:sz w:val="20"/>
                <w:szCs w:val="20"/>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2017, fue pactado con BBVA Bancomer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05 de Octubre de  2022, fue pactado  un crédito simple con BBVA Bancomer, para refinanciamiento de crédito original, con una plazo de vencimiento de 12 años, con una tasa efectiva 10.49, otorgaron 24 meses de gracias al Municipio de Guadalajara a partir de la disposición del crédito que puede ser hasta por la $ 810,104,552.12, asi como el compromiso que recae del 17% de las participaciones federales (fondo general) para garantizar el pago oportuno de la deuda, se constituye  un fideicomiso irrevocable de administración y medio de pago, a través del cual se cubren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de 2017, fue pactado con el Banco Mercantil del Norte, la reducción de la tasa de interés para quedar en TIIE+.90 puntos porcentuales, así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w:t>
            </w:r>
            <w:r>
              <w:rPr>
                <w:rFonts w:ascii="Arial" w:hAnsi="Arial" w:cs="Arial"/>
                <w:b/>
                <w:bCs/>
                <w:lang w:eastAsia="es-MX"/>
              </w:rPr>
              <w:tab/>
              <w:t>Notas al Estado de Variación en la Hacienda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El desglose de las cuentas se informa de manera agrupada acerca de las modificaciones al patrimonio contribuido y los recursos que modifican al patrimonio generado se proporcionan en el estado de Variación en la Hacienda Pública al 31 de Diciembre de 2023</w:t>
            </w: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III)</w:t>
            </w:r>
            <w:r>
              <w:rPr>
                <w:rFonts w:ascii="Arial" w:hAnsi="Arial" w:cs="Arial"/>
                <w:b/>
                <w:bCs/>
                <w:lang w:eastAsia="es-MX"/>
              </w:rPr>
              <w:tab/>
              <w:t>Notas al Estado de Flujo de Efectivo</w:t>
            </w: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1.</w:t>
            </w:r>
            <w:r>
              <w:rPr>
                <w:rFonts w:ascii="Arial" w:hAnsi="Arial" w:cs="Arial"/>
                <w:lang w:eastAsia="es-MX"/>
              </w:rPr>
              <w:tab/>
              <w:t>El análisis de los saldos inicial y final que figuran en la última parte del Estado de Flujo de efectivo en la cuenta de efectivo y equivalentes como sigue:</w:t>
            </w:r>
          </w:p>
          <w:p w:rsidR="00657CA4" w:rsidRDefault="00657CA4" w:rsidP="00657CA4">
            <w:pPr>
              <w:autoSpaceDE w:val="0"/>
              <w:autoSpaceDN w:val="0"/>
              <w:adjustRightInd w:val="0"/>
              <w:jc w:val="both"/>
              <w:rPr>
                <w:rFonts w:ascii="Arial" w:hAnsi="Arial" w:cs="Arial"/>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9"/>
              <w:gridCol w:w="1702"/>
              <w:gridCol w:w="1775"/>
            </w:tblGrid>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color w:val="000000"/>
                      <w:sz w:val="20"/>
                      <w:szCs w:val="20"/>
                      <w:lang w:eastAsia="es-MX"/>
                    </w:rPr>
                  </w:pP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520,008.78</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684,508.77</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300,111,928.47</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188,457,656.13</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252,525,343.73</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14,543,463.05</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afectaciones Especifica</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137,939.59</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137,939.59 </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de fondos de terceros en Garantía y/o Administración</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15,242,110.20</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15,245,659.80 </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3,502,326.18</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625,961.60</w:t>
                  </w:r>
                </w:p>
              </w:tc>
            </w:tr>
            <w:tr w:rsidR="00657CA4">
              <w:tblPrEx>
                <w:tblCellMar>
                  <w:top w:w="0" w:type="dxa"/>
                  <w:bottom w:w="0" w:type="dxa"/>
                </w:tblCellMar>
              </w:tblPrEx>
              <w:tc>
                <w:tcPr>
                  <w:tcW w:w="58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EFECTIVO Y EQUIVALENTES</w:t>
                  </w:r>
                </w:p>
              </w:tc>
              <w:tc>
                <w:tcPr>
                  <w:tcW w:w="1717"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572,039,656.95</w:t>
                  </w:r>
                </w:p>
              </w:tc>
              <w:tc>
                <w:tcPr>
                  <w:tcW w:w="1783"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2.</w:t>
            </w:r>
            <w:r>
              <w:rPr>
                <w:rFonts w:ascii="Arial" w:hAnsi="Arial" w:cs="Arial"/>
                <w:lang w:eastAsia="es-MX"/>
              </w:rPr>
              <w:tab/>
              <w:t xml:space="preserve"> A continuación se detallan las adquisiciones de las actividades de Inversión efectivamente pagadas respecto del aparatado de aplicación. </w:t>
            </w:r>
          </w:p>
          <w:tbl>
            <w:tblPr>
              <w:tblW w:w="0" w:type="auto"/>
              <w:tblCellMar>
                <w:left w:w="70" w:type="dxa"/>
                <w:right w:w="70" w:type="dxa"/>
              </w:tblCellMar>
              <w:tblLook w:val="0000" w:firstRow="0" w:lastRow="0" w:firstColumn="0" w:lastColumn="0" w:noHBand="0" w:noVBand="0"/>
            </w:tblPr>
            <w:tblGrid>
              <w:gridCol w:w="4989"/>
              <w:gridCol w:w="1879"/>
              <w:gridCol w:w="1878"/>
            </w:tblGrid>
            <w:tr w:rsidR="00657CA4">
              <w:tblPrEx>
                <w:tblCellMar>
                  <w:top w:w="0" w:type="dxa"/>
                  <w:bottom w:w="0" w:type="dxa"/>
                </w:tblCellMar>
              </w:tblPrEx>
              <w:tc>
                <w:tcPr>
                  <w:tcW w:w="9021"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4"/>
                      <w:szCs w:val="24"/>
                      <w:lang w:eastAsia="es-MX"/>
                    </w:rPr>
                  </w:pPr>
                  <w:r>
                    <w:rPr>
                      <w:rFonts w:ascii="Arial" w:hAnsi="Arial" w:cs="Arial"/>
                      <w:b/>
                      <w:bCs/>
                      <w:color w:val="000000"/>
                      <w:sz w:val="24"/>
                      <w:szCs w:val="24"/>
                      <w:lang w:eastAsia="es-MX"/>
                    </w:rPr>
                    <w:t>Adquisiciones de Actividades de Inversión efectivamente pagadas, respecto del apartado de aplicación.</w:t>
                  </w:r>
                </w:p>
              </w:tc>
            </w:tr>
            <w:tr w:rsidR="00657CA4">
              <w:tblPrEx>
                <w:tblCellMar>
                  <w:top w:w="0" w:type="dxa"/>
                  <w:bottom w:w="0" w:type="dxa"/>
                </w:tblCellMar>
              </w:tblPrEx>
              <w:tc>
                <w:tcPr>
                  <w:tcW w:w="521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Concepto</w:t>
                  </w:r>
                </w:p>
              </w:tc>
              <w:tc>
                <w:tcPr>
                  <w:tcW w:w="1901"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2023</w:t>
                  </w:r>
                </w:p>
              </w:tc>
              <w:tc>
                <w:tcPr>
                  <w:tcW w:w="191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2022</w:t>
                  </w:r>
                </w:p>
              </w:tc>
            </w:tr>
            <w:tr w:rsidR="00657CA4">
              <w:tblPrEx>
                <w:tblCellMar>
                  <w:top w:w="0" w:type="dxa"/>
                  <w:bottom w:w="0" w:type="dxa"/>
                </w:tblCellMar>
              </w:tblPrEx>
              <w:tc>
                <w:tcPr>
                  <w:tcW w:w="521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Bienes Inmuebles, Infraestructura y Construcciones en Proceso</w:t>
                  </w:r>
                </w:p>
              </w:tc>
              <w:tc>
                <w:tcPr>
                  <w:tcW w:w="1901"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highlight w:val="yellow"/>
                      <w:lang w:eastAsia="es-MX"/>
                    </w:rPr>
                  </w:pPr>
                  <w:r>
                    <w:rPr>
                      <w:rFonts w:ascii="Arial" w:hAnsi="Arial" w:cs="Arial"/>
                      <w:b/>
                      <w:bCs/>
                      <w:color w:val="000000"/>
                      <w:sz w:val="18"/>
                      <w:szCs w:val="18"/>
                      <w:highlight w:val="yellow"/>
                      <w:lang w:eastAsia="es-MX"/>
                    </w:rPr>
                    <w:t xml:space="preserve">    6,238,669,600.60 </w:t>
                  </w:r>
                </w:p>
              </w:tc>
              <w:tc>
                <w:tcPr>
                  <w:tcW w:w="191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highlight w:val="yellow"/>
                      <w:lang w:eastAsia="es-MX"/>
                    </w:rPr>
                  </w:pPr>
                  <w:r>
                    <w:rPr>
                      <w:rFonts w:ascii="Arial" w:hAnsi="Arial" w:cs="Arial"/>
                      <w:b/>
                      <w:bCs/>
                      <w:color w:val="000000"/>
                      <w:sz w:val="18"/>
                      <w:szCs w:val="18"/>
                      <w:highlight w:val="yellow"/>
                      <w:lang w:eastAsia="es-MX"/>
                    </w:rPr>
                    <w:t xml:space="preserve">        145,307,326.07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Terrenos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Viviendas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Edificaciones no Habitacionales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Infraestructura</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de Dominio Público</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1,065,438,506.70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145,307,326.07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Propios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Otros Bienes Inmuebles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Bienes Muebles</w:t>
                  </w:r>
                </w:p>
              </w:tc>
              <w:tc>
                <w:tcPr>
                  <w:tcW w:w="1901"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highlight w:val="yellow"/>
                      <w:lang w:eastAsia="es-MX"/>
                    </w:rPr>
                  </w:pPr>
                  <w:r>
                    <w:rPr>
                      <w:rFonts w:ascii="Arial" w:hAnsi="Arial" w:cs="Arial"/>
                      <w:b/>
                      <w:bCs/>
                      <w:color w:val="000000"/>
                      <w:sz w:val="18"/>
                      <w:szCs w:val="18"/>
                      <w:highlight w:val="yellow"/>
                      <w:lang w:eastAsia="es-MX"/>
                    </w:rPr>
                    <w:t xml:space="preserve">         56,857,991.06</w:t>
                  </w:r>
                </w:p>
              </w:tc>
              <w:tc>
                <w:tcPr>
                  <w:tcW w:w="191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highlight w:val="yellow"/>
                      <w:lang w:eastAsia="es-MX"/>
                    </w:rPr>
                  </w:pPr>
                  <w:r>
                    <w:rPr>
                      <w:rFonts w:ascii="Arial" w:hAnsi="Arial" w:cs="Arial"/>
                      <w:b/>
                      <w:bCs/>
                      <w:color w:val="000000"/>
                      <w:sz w:val="18"/>
                      <w:szCs w:val="18"/>
                      <w:highlight w:val="yellow"/>
                      <w:lang w:eastAsia="es-MX"/>
                    </w:rPr>
                    <w:t xml:space="preserve">          15,108,143.31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33,394,127.14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4,829,186.41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13,519,141.57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1,939,520.00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226,220.00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9,045,819.95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7,738,982.35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1,233,136.95 </w:t>
                  </w:r>
                </w:p>
              </w:tc>
            </w:tr>
            <w:tr w:rsidR="00657CA4">
              <w:tblPrEx>
                <w:tblCellMar>
                  <w:top w:w="0" w:type="dxa"/>
                  <w:bottom w:w="0" w:type="dxa"/>
                </w:tblCellMar>
              </w:tblPrEx>
              <w:tc>
                <w:tcPr>
                  <w:tcW w:w="5210"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Colecciones, Obras de arte y Objetos Valiosos</w:t>
                  </w:r>
                </w:p>
              </w:tc>
              <w:tc>
                <w:tcPr>
                  <w:tcW w:w="1901"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    </w:t>
                  </w:r>
                </w:p>
              </w:tc>
            </w:tr>
            <w:tr w:rsidR="00657CA4">
              <w:tblPrEx>
                <w:tblCellMar>
                  <w:top w:w="0" w:type="dxa"/>
                  <w:bottom w:w="0" w:type="dxa"/>
                </w:tblCellMar>
              </w:tblPrEx>
              <w:tc>
                <w:tcPr>
                  <w:tcW w:w="5210"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901"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w:t>
                  </w:r>
                </w:p>
              </w:tc>
              <w:tc>
                <w:tcPr>
                  <w:tcW w:w="191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18"/>
                      <w:szCs w:val="18"/>
                      <w:highlight w:val="yellow"/>
                      <w:lang w:eastAsia="es-MX"/>
                    </w:rPr>
                  </w:pPr>
                  <w:r>
                    <w:rPr>
                      <w:rFonts w:ascii="Arial" w:hAnsi="Arial" w:cs="Arial"/>
                      <w:color w:val="000000"/>
                      <w:sz w:val="18"/>
                      <w:szCs w:val="18"/>
                      <w:highlight w:val="yellow"/>
                      <w:lang w:eastAsia="es-MX"/>
                    </w:rPr>
                    <w:t xml:space="preserve">  $                   -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ind w:left="720" w:hanging="360"/>
              <w:jc w:val="both"/>
              <w:rPr>
                <w:rFonts w:ascii="Arial" w:hAnsi="Arial" w:cs="Arial"/>
                <w:lang w:eastAsia="es-MX"/>
              </w:rPr>
            </w:pPr>
            <w:r>
              <w:rPr>
                <w:rFonts w:ascii="Arial" w:hAnsi="Arial" w:cs="Arial"/>
                <w:lang w:eastAsia="es-MX"/>
              </w:rPr>
              <w:t>3.</w:t>
            </w:r>
            <w:r>
              <w:rPr>
                <w:rFonts w:ascii="Arial" w:hAnsi="Arial" w:cs="Arial"/>
                <w:lang w:eastAsia="es-MX"/>
              </w:rPr>
              <w:tab/>
              <w:t>Presentar la Conciliación de los Flujos Netos de las Actividades de Operación y los saldos de Resultados del Ejercicio (Ahorro/ Desahorro), utilizando el siguiente cuadro:</w:t>
            </w:r>
          </w:p>
          <w:tbl>
            <w:tblPr>
              <w:tblW w:w="0" w:type="auto"/>
              <w:tblCellMar>
                <w:left w:w="70" w:type="dxa"/>
                <w:right w:w="70" w:type="dxa"/>
              </w:tblCellMar>
              <w:tblLook w:val="0000" w:firstRow="0" w:lastRow="0" w:firstColumn="0" w:lastColumn="0" w:noHBand="0" w:noVBand="0"/>
            </w:tblPr>
            <w:tblGrid>
              <w:gridCol w:w="4891"/>
              <w:gridCol w:w="1971"/>
              <w:gridCol w:w="1884"/>
            </w:tblGrid>
            <w:tr w:rsidR="00657CA4">
              <w:tblPrEx>
                <w:tblCellMar>
                  <w:top w:w="0" w:type="dxa"/>
                  <w:bottom w:w="0" w:type="dxa"/>
                </w:tblCellMar>
              </w:tblPrEx>
              <w:tc>
                <w:tcPr>
                  <w:tcW w:w="9654"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CONCILIACION DE FLUJOS DE EFECTIVO NETOS</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CONCEPTO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Resultado del Ejercicio Ahorro/Desahorro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873,154,345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1,477,836,083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Movimientos de partidas (o rubros) que no afectan al efectivo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224,469,689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Depreciación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Amortización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Incrementos en las provisiones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Inversiones producido por revaluación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Ganancia/pérdida en venta de bienes muebles, inmuebles e intangibles.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cuentas por cobrar</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r>
                    <w:rPr>
                      <w:rFonts w:ascii="Arial" w:hAnsi="Arial" w:cs="Arial"/>
                      <w:color w:val="000000"/>
                      <w:sz w:val="20"/>
                      <w:szCs w:val="20"/>
                      <w:highlight w:val="yellow"/>
                      <w:lang w:eastAsia="es-MX"/>
                    </w:rPr>
                    <w:t>$          - 108,398</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224,469,689 </w:t>
                  </w:r>
                </w:p>
              </w:tc>
            </w:tr>
            <w:tr w:rsidR="00657CA4">
              <w:tblPrEx>
                <w:tblCellMar>
                  <w:top w:w="0" w:type="dxa"/>
                  <w:bottom w:w="0" w:type="dxa"/>
                </w:tblCellMar>
              </w:tblPrEx>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Flujos de Efectivo Netos de las Actividades de Operación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873,045,947</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1,253,366,394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ind w:left="1146" w:hanging="720"/>
              <w:jc w:val="both"/>
              <w:rPr>
                <w:rFonts w:ascii="Arial" w:hAnsi="Arial" w:cs="Arial"/>
                <w:b/>
                <w:bCs/>
                <w:lang w:eastAsia="es-MX"/>
              </w:rPr>
            </w:pPr>
            <w:r>
              <w:rPr>
                <w:rFonts w:ascii="Arial" w:hAnsi="Arial" w:cs="Arial"/>
                <w:b/>
                <w:bCs/>
                <w:lang w:eastAsia="es-MX"/>
              </w:rPr>
              <w:t>IV)</w:t>
            </w:r>
            <w:r>
              <w:rPr>
                <w:rFonts w:ascii="Arial" w:hAnsi="Arial" w:cs="Arial"/>
                <w:b/>
                <w:bCs/>
                <w:lang w:eastAsia="es-MX"/>
              </w:rPr>
              <w:tab/>
              <w:t>CONCILIACION ENTRE LOS INGRESOS PRESUPUESTARIOS Y CONTABLES, ASI COMO ENTRE LOS EGRESOS PRESUPUESTARIOS Y LOS GASTOS CONTABLES</w:t>
            </w:r>
          </w:p>
          <w:p w:rsidR="00657CA4" w:rsidRDefault="00657CA4" w:rsidP="00657CA4">
            <w:pPr>
              <w:tabs>
                <w:tab w:val="left" w:pos="2970"/>
              </w:tabs>
              <w:autoSpaceDE w:val="0"/>
              <w:autoSpaceDN w:val="0"/>
              <w:adjustRightInd w:val="0"/>
              <w:jc w:val="both"/>
              <w:rPr>
                <w:rFonts w:ascii="Arial" w:hAnsi="Arial" w:cs="Arial"/>
                <w:b/>
                <w:bCs/>
                <w:lang w:eastAsia="es-MX"/>
              </w:rPr>
            </w:pPr>
          </w:p>
          <w:p w:rsidR="00657CA4" w:rsidRDefault="00657CA4" w:rsidP="00657CA4">
            <w:pPr>
              <w:tabs>
                <w:tab w:val="left" w:pos="2970"/>
              </w:tabs>
              <w:autoSpaceDE w:val="0"/>
              <w:autoSpaceDN w:val="0"/>
              <w:adjustRightInd w:val="0"/>
              <w:jc w:val="both"/>
              <w:rPr>
                <w:rFonts w:ascii="Arial" w:hAnsi="Arial" w:cs="Arial"/>
                <w:lang w:eastAsia="es-MX"/>
              </w:rPr>
            </w:pPr>
            <w:r>
              <w:rPr>
                <w:rFonts w:ascii="Arial" w:hAnsi="Arial" w:cs="Arial"/>
                <w:lang w:eastAsia="es-MX"/>
              </w:rPr>
              <w:t xml:space="preserve">La conciliación se presentará atendiendo a lo dispuesto por el </w:t>
            </w:r>
            <w:r>
              <w:rPr>
                <w:rFonts w:ascii="Arial" w:hAnsi="Arial" w:cs="Arial"/>
                <w:b/>
                <w:bCs/>
                <w:lang w:eastAsia="es-MX"/>
              </w:rPr>
              <w:t xml:space="preserve">“Acuerdo por el que se emite el formato entre los ingresos presupuestarios y contables, así como entre los egresos presupuestarios y los gastos contables” </w:t>
            </w:r>
            <w:r>
              <w:rPr>
                <w:rFonts w:ascii="Arial" w:hAnsi="Arial" w:cs="Arial"/>
                <w:lang w:eastAsia="es-MX"/>
              </w:rPr>
              <w:t xml:space="preserve">y sus modificaciones. </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“Bajo protesta de decir verdad declaramos que los Estados Financieros y sus notas, son razonablemente correctos y son responsabilidad del emisor”</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657CA4" w:rsidP="004073AF">
            <w:pPr>
              <w:jc w:val="center"/>
              <w:rPr>
                <w:rFonts w:ascii="Arial" w:hAnsi="Arial" w:cs="Arial"/>
                <w:b/>
                <w:sz w:val="20"/>
              </w:rPr>
            </w:pPr>
            <w:bookmarkStart w:id="4" w:name="firma1"/>
            <w:bookmarkEnd w:id="4"/>
            <w:r>
              <w:rPr>
                <w:rFonts w:ascii="Arial" w:hAnsi="Arial" w:cs="Arial"/>
                <w:b/>
                <w:sz w:val="20"/>
              </w:rPr>
              <w:t>LIC.JUAN FRANCISCO RAMIREZ SALCIDO</w:t>
            </w:r>
          </w:p>
          <w:p w:rsidR="00425DF0" w:rsidRPr="00EB7BF7" w:rsidRDefault="00657CA4" w:rsidP="00F13D94">
            <w:pPr>
              <w:jc w:val="center"/>
              <w:rPr>
                <w:rFonts w:ascii="Arial" w:hAnsi="Arial" w:cs="Arial"/>
                <w:b/>
                <w:sz w:val="20"/>
              </w:rPr>
            </w:pPr>
            <w:bookmarkStart w:id="5" w:name="Cargo1"/>
            <w:bookmarkEnd w:id="5"/>
            <w:r>
              <w:rPr>
                <w:rFonts w:ascii="Arial" w:hAnsi="Arial" w:cs="Arial"/>
                <w:b/>
                <w:sz w:val="20"/>
              </w:rPr>
              <w:t>PRESIDENTE INTERINO DEL MUNICIPIO DE GUADALAJARA</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657CA4" w:rsidP="00BA7910">
            <w:pPr>
              <w:jc w:val="center"/>
              <w:rPr>
                <w:rFonts w:ascii="Arial" w:hAnsi="Arial" w:cs="Arial"/>
                <w:b/>
                <w:sz w:val="20"/>
              </w:rPr>
            </w:pPr>
            <w:bookmarkStart w:id="6" w:name="firma2"/>
            <w:bookmarkEnd w:id="6"/>
            <w:r>
              <w:rPr>
                <w:rFonts w:ascii="Arial" w:hAnsi="Arial" w:cs="Arial"/>
                <w:b/>
                <w:sz w:val="20"/>
              </w:rPr>
              <w:t>MTRO. LUIS GARCÌA SOTELO</w:t>
            </w:r>
          </w:p>
          <w:p w:rsidR="001F0913" w:rsidRPr="00EB7BF7" w:rsidRDefault="00657CA4" w:rsidP="00054D51">
            <w:pPr>
              <w:jc w:val="center"/>
              <w:rPr>
                <w:rFonts w:ascii="Arial" w:hAnsi="Arial" w:cs="Arial"/>
                <w:b/>
                <w:sz w:val="20"/>
              </w:rPr>
            </w:pPr>
            <w:bookmarkStart w:id="7" w:name="Cargo2"/>
            <w:bookmarkEnd w:id="7"/>
            <w:r>
              <w:rPr>
                <w:rFonts w:ascii="Arial" w:hAnsi="Arial" w:cs="Arial"/>
                <w:b/>
                <w:sz w:val="20"/>
              </w:rPr>
              <w:t>TESORERO MUNICIPAL</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78"/>
      </w:tblGrid>
      <w:tr w:rsidR="00721735" w:rsidRPr="00721735" w:rsidTr="003F7AB9">
        <w:tc>
          <w:tcPr>
            <w:tcW w:w="8978" w:type="dxa"/>
            <w:shd w:val="clear" w:color="auto" w:fill="auto"/>
          </w:tcPr>
          <w:p w:rsidR="00721735" w:rsidRPr="00721735" w:rsidRDefault="00657CA4" w:rsidP="00523D61">
            <w:pPr>
              <w:jc w:val="center"/>
              <w:rPr>
                <w:rFonts w:ascii="C39HrP24DhTt" w:hAnsi="C39HrP24DhTt" w:cs="Arial"/>
                <w:sz w:val="44"/>
                <w:szCs w:val="44"/>
              </w:rPr>
            </w:pPr>
            <w:bookmarkStart w:id="8" w:name="codigo"/>
            <w:bookmarkEnd w:id="8"/>
            <w:r>
              <w:rPr>
                <w:rFonts w:ascii="C39HrP24DhTt" w:hAnsi="C39HrP24DhTt" w:cs="Arial"/>
                <w:sz w:val="44"/>
                <w:szCs w:val="44"/>
              </w:rPr>
              <w:t>ASEJ2023-13-27-02-2024-1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variable"/>
    <w:sig w:usb0="00000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657CA4"/>
    <w:rsid w:val="00721735"/>
    <w:rsid w:val="007326BD"/>
    <w:rsid w:val="007E4F17"/>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6</cp:revision>
  <dcterms:created xsi:type="dcterms:W3CDTF">2020-05-27T16:02:00Z</dcterms:created>
  <dcterms:modified xsi:type="dcterms:W3CDTF">2024-02-27T20:22:00Z</dcterms:modified>
</cp:coreProperties>
</file>