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D27CAF" w:rsidRDefault="00A675FF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GUADALAJARA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A675F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45E83" w:rsidRPr="007326BD" w:rsidTr="00A45E83">
        <w:tc>
          <w:tcPr>
            <w:tcW w:w="8978" w:type="dxa"/>
          </w:tcPr>
          <w:p w:rsidR="00A675FF" w:rsidRDefault="00A675FF" w:rsidP="00A675FF">
            <w:bookmarkStart w:id="3" w:name="cuerpo"/>
            <w:bookmarkEnd w:id="3"/>
          </w:p>
          <w:p w:rsidR="00A675FF" w:rsidRDefault="00A675FF" w:rsidP="00A675FF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876425" cy="10191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br w:type="page"/>
            </w:r>
          </w:p>
          <w:p w:rsidR="00A675FF" w:rsidRDefault="00A675FF" w:rsidP="00A675FF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INTRODUCCIÓN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El fundamento legal se muestra bajo los principios que determina la Ley de Fiscalización Superior y Rendición de Cuentas del Estado de Jalisco y sus Municipios (LFSRC), en la cual se menciona que los sujetos obligados deberán aplicar los criterios de control y rendición de cuentas, en la administración y en el ejercicio de los recursos públicos.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LFSRC menciona que las entidades fiscalizadas en complemento al informe de avances de gestión financiera y el informe anual de gestión financiera del ejercicio fiscal correspondiente, deberán entregar un informe anual de desempeño en la gestión, el cual deberá contener cuando menos:</w:t>
            </w:r>
          </w:p>
          <w:p w:rsidR="00A675FF" w:rsidRDefault="00A675FF" w:rsidP="00A675FF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Symbol" w:hAnsi="Symbol" w:cs="Symbo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 xml:space="preserve">Evidencia sobre los logros e impactos generados en función a los objetivos estratégicos propuestos para el sector específico en el mediano plazo, de conformidad con el Sistema de Evaluación del Desempeño. </w:t>
            </w:r>
          </w:p>
          <w:p w:rsidR="00A675FF" w:rsidRDefault="00A675FF" w:rsidP="00A675FF">
            <w:pPr>
              <w:spacing w:line="360" w:lineRule="auto"/>
              <w:ind w:left="720" w:hanging="3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Symbol" w:hAnsi="Symbol" w:cs="Symbo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>Las metodologías utilizadas para evaluar, recabar y analizar información con criterios explícitos de interpretación de resultados. Estos informes deberán acompañarse a la cuenta pública que remita al Congreso del Estado.</w:t>
            </w:r>
          </w:p>
          <w:p w:rsidR="00A675FF" w:rsidRDefault="00A675FF" w:rsidP="00A675FF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LOGROS E IMPACTOS GENERADOS</w:t>
            </w:r>
          </w:p>
          <w:p w:rsidR="00A675FF" w:rsidRDefault="00A675FF" w:rsidP="00A675FF">
            <w:pPr>
              <w:pStyle w:val="Ttulo2"/>
              <w:keepNext/>
              <w:keepLines/>
              <w:tabs>
                <w:tab w:val="left" w:pos="360"/>
              </w:tabs>
              <w:spacing w:before="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1.</w:t>
            </w:r>
            <w:r>
              <w:rPr>
                <w:rFonts w:ascii="Arial" w:hAnsi="Arial" w:cs="Arial"/>
                <w:color w:val="ED7D31"/>
              </w:rPr>
              <w:tab/>
              <w:t>Programas con Matrices de Indicadores para Resultados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La aplicación de las </w:t>
            </w:r>
            <w:r>
              <w:rPr>
                <w:rFonts w:ascii="Arial" w:hAnsi="Arial" w:cs="Arial"/>
              </w:rPr>
              <w:t>Matrices de Indicadores para Resultados</w:t>
            </w:r>
            <w:r>
              <w:rPr>
                <w:rFonts w:ascii="Arial" w:hAnsi="Arial" w:cs="Arial"/>
                <w:noProof/>
              </w:rPr>
              <w:t xml:space="preserve"> (MIR) ha orientado a fijar las miradas en los resultados e impactos de los programas, ya que requieren información sobre un conjunto de indicadores que muestren no sólo la evaluación del desempeño de un programa o proyecto en términos de la ejecución del gasto, sino también del impacto </w:t>
            </w:r>
            <w:r>
              <w:rPr>
                <w:rFonts w:ascii="Arial" w:hAnsi="Arial" w:cs="Arial"/>
                <w:noProof/>
              </w:rPr>
              <w:lastRenderedPageBreak/>
              <w:t>de las tareas o acciones de los programas para cumplir con el logro de las metas y los objetivos de política pública. Parte del proceso municipal fue rediseñar las MIR y alinearlas a la planeación estratégica, mediante el proceso adecuado para ello, a través de la resolución de los  siguientes cuestionamientos:</w:t>
            </w:r>
          </w:p>
          <w:p w:rsidR="00A675FF" w:rsidRDefault="00A675FF" w:rsidP="00A675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43175" cy="12192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571750" cy="2514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El Ayuntamiento de Guadalajara tiene 31 programas presupuestarios, mismos que están alineados a los objetivos del Plan Nacional de Desarrollo, al Plan Estatal de Desarrollo y Gobernanza, a la Agenda 2030 y al PMDyG. Cada uno de los programas cuenta con indicadores a nivel de fin, propósito, componente y actividad con base en la MML. 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MIR se componen por con 575 indicadores, sin embargo, los resultados que presentamos a continuación son el reflejo de 573 indicadores, ya que 2 indicadores a nivel de Fin no se consideraron porque su frecuencia de medición es decenal.</w:t>
            </w:r>
          </w:p>
          <w:p w:rsidR="00A675FF" w:rsidRDefault="00A675FF" w:rsidP="00A675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 el análisis, se muestran los indicadores en tres categorías:</w:t>
            </w:r>
          </w:p>
          <w:p w:rsidR="00A675FF" w:rsidRDefault="00A675FF" w:rsidP="00A675FF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Verde: indicadores que mostraron un cumplimiento mayor o igual al 90%.</w:t>
            </w:r>
          </w:p>
          <w:p w:rsidR="00A675FF" w:rsidRDefault="00A675FF" w:rsidP="00A675FF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Amarillo: indicadores que mostraron un cumplimiento entre 60% a 89%.</w:t>
            </w:r>
          </w:p>
          <w:p w:rsidR="00A675FF" w:rsidRDefault="00A675FF" w:rsidP="00A675FF">
            <w:pPr>
              <w:spacing w:line="360" w:lineRule="auto"/>
              <w:ind w:left="720" w:hanging="360"/>
              <w:rPr>
                <w:rFonts w:ascii="Arial" w:hAnsi="Arial" w:cs="Arial"/>
                <w:color w:val="000000"/>
              </w:rPr>
            </w:pPr>
            <w:r>
              <w:rPr>
                <w:rFonts w:ascii="Noto Sans Symbols" w:hAnsi="Noto Sans Symbols" w:cs="Noto Sans Symbols"/>
                <w:color w:val="000000"/>
              </w:rPr>
              <w:t>●</w:t>
            </w:r>
            <w:r>
              <w:rPr>
                <w:rFonts w:ascii="Noto Sans Symbols" w:hAnsi="Noto Sans Symbols" w:cs="Noto Sans Symbols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Rojo: indicadores que mostraron un cumplimiento menor o igual a 59%.</w:t>
            </w:r>
          </w:p>
          <w:p w:rsidR="00A675FF" w:rsidRDefault="00A675FF" w:rsidP="00A675FF">
            <w:pPr>
              <w:spacing w:line="360" w:lineRule="auto"/>
              <w:ind w:left="720"/>
              <w:rPr>
                <w:rFonts w:ascii="Times New Roman" w:hAnsi="Times New Roman"/>
                <w:color w:val="000000"/>
              </w:rPr>
            </w:pP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corte al 31 de diciembre del 2023, se observó que el 79% de los indicadores alcanzaron un cumplimiento mayor o igual al 90%; 13% un cumplimiento entre 60 a 89%; </w:t>
            </w:r>
            <w:r>
              <w:rPr>
                <w:rFonts w:ascii="Arial" w:hAnsi="Arial" w:cs="Arial"/>
              </w:rPr>
              <w:lastRenderedPageBreak/>
              <w:t xml:space="preserve">y 8% un cumplimiento menor o igual a 59%. 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continuación, se muestra el avance para cada uno de los programas presupuestarios: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4"/>
              <w:gridCol w:w="1072"/>
              <w:gridCol w:w="1077"/>
              <w:gridCol w:w="1069"/>
            </w:tblGrid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Verde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Amarillo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Rojo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Inclusión y atención a Grupos Vulnerables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Apoyo y Atención a la Niñez y Juventudes 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Seguridad Ciudadana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Justicia Cívica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 Comunicación institucional                                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Imagen Urbana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Servicios Públicos funcionales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Fomento a la inversión, turismo y relaciones internacionales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Emprendimiento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Regulación y derrama económica local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Jefatura de Gabinete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Mejora de la Gestión Gubernamental e Imagen del Centro Histórico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Protección civil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Participación Ciudadana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Servicios Registrales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Transparencia y Buenas Prácticas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Procuración de justicia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Desarrollo Administrativo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Innovación Gubernamental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Combate a la corrupción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 Medio Ambiente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Movilidad y Transporte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Obra Pública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Ordenamiento del Territorio y Licencias de Construcción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 Centros Colmena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Fomento a la cultura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 Oferta educativa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Servicios médicos municipales con calidad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 Manejo de la hacienda pública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Calidad y control del Gasto en el Municipio de Guadalajara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A675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Recursos Federales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75FF" w:rsidRDefault="00A675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</w:tr>
          </w:tbl>
          <w:p w:rsidR="00A675FF" w:rsidRDefault="00A675FF" w:rsidP="00A675FF">
            <w:pPr>
              <w:rPr>
                <w:rFonts w:ascii="Times New Roman" w:hAnsi="Times New Roman"/>
                <w:color w:val="2E74B5"/>
              </w:rPr>
            </w:pP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continuación, mostramos los avances de cumplimiento por Eje del PMDyG y por objetivo del PMDyG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Arial" w:hAnsi="Arial" w:cs="Arial"/>
              </w:rPr>
              <w:t xml:space="preserve"> con corte a diciembre del 2023: </w:t>
            </w:r>
          </w:p>
          <w:p w:rsidR="00A675FF" w:rsidRDefault="00A675FF" w:rsidP="00A675FF">
            <w:pPr>
              <w:spacing w:line="360" w:lineRule="auto"/>
              <w:jc w:val="center"/>
              <w:rPr>
                <w:rFonts w:ascii="Times New Roman" w:hAnsi="Times New Roman"/>
                <w:color w:val="2E74B5"/>
                <w:highlight w:val="yellow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553075" cy="26574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5FF" w:rsidRDefault="00A675FF" w:rsidP="00A675FF">
            <w:pPr>
              <w:spacing w:line="360" w:lineRule="auto"/>
              <w:rPr>
                <w:rFonts w:ascii="Times New Roman" w:hAnsi="Times New Roman"/>
                <w:color w:val="2E74B5"/>
                <w:highlight w:val="yellow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6162675" cy="80295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80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5FF" w:rsidRDefault="00A675FF" w:rsidP="00A675FF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METODOLOGÍAS EMPLEADAS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LPPEJM tiene por objeto, entre otros, el establecer las normas y principios básicos de la planeación de las actividades de la administración pública estatal, regional y municipal para contribuir con el desarrollo integral y sustentable del Estado, estableciendo las bases de integración y funcionamiento del Sistema Estatal de Planeación Participativa (SEPP).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SEPP es el conjunto de condiciones, actividades y procedimientos mediante los cuales se lleva a cabo en forma coordinada y concertada el proceso de planeación del desarrollo y está vinculado al Sistema Nacional de Planeación Democrática del Poder Ejecutivo Federal, a fin de contribuir al logro de los objetivos nacionales. Asimismo, reconoce la existencia y elaboración de distintos instrumentos de planeación que permitan orientar la toma de decisiones de las autoridades políticas y funcionarios directivos.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tenor, la planeación municipal de Guadalajara está orientada, entre otros, con el principio de coordinación y enlace de los objetivos, estrategias y acciones que se implementarán o mejorarán por parte del gobierno hacia la ciudadanía para la consecución de los fines que generen impactos reales y medibles.</w:t>
            </w:r>
          </w:p>
          <w:p w:rsidR="00A675FF" w:rsidRDefault="00A675FF" w:rsidP="00A675FF">
            <w:pPr>
              <w:pStyle w:val="Ttulo2"/>
              <w:keepNext/>
              <w:keepLines/>
              <w:spacing w:before="40" w:line="360" w:lineRule="auto"/>
              <w:ind w:left="284" w:hanging="284"/>
              <w:jc w:val="both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1.</w:t>
            </w:r>
            <w:r>
              <w:rPr>
                <w:rFonts w:ascii="Arial" w:hAnsi="Arial" w:cs="Arial"/>
                <w:color w:val="ED7D31"/>
              </w:rPr>
              <w:tab/>
              <w:t xml:space="preserve">Metodologías para recabar y analizar información de programas con MIR 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herramientas de monitoreo y evaluación que implementamos en Guadalajara forman parte de las condiciones necesarias para lograr una sociedad tapatía más democrática y transparente. El diseño de los programas orientados a resultados, y la toma de decisiones con base en información confiable y oportuna, requieren ser monitoreados mediante un conjunto de indicadores que muestren no sólo la evaluación del desempeño de un programa o proyecto en términos de la ejecución del gasto, sino del impacto de las tareas o acciones de los programas para cumplir con el logro de las metas y los objetivos de política pública.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contexto y, enfocándonos en el monitoreo, en Guadalajara aplicamos la Metodología del Marco Lógico (MML) como herramienta para la medición de resultados que permite mejorar el diseño y la lógica interna de los programas presupuestarios, así como identificar de manera oportuna retos y necesidades de los programas con el fin de que los actores relevantes puedan tomar decisiones pertinentes en torno a su diseño e implementación.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implementación de la MML nos permite diseñar las Matrices de Indicadores para Resultados que derivan en el seguimiento constante de los indicadores que dan cuenta sobre los bienes o servicios que otorgamos en Guadalajara. Estos indicadores son medidos periódicamente a través de la plataforma interna denominada Sistema de Indicadores de Desempeño (SID).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Respecto a la evaluación, en Guadalajara contamos con el Programa Anual de Evaluación; el cual es un instrumento normativo en donde establecemos los programas, estrategias y/o políticas que serán sujetos de evaluación durante un ejercicio anual específico.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evaluaciones que se realizan con base en el PAE, tienen diversos objetivos; son realizadas por evaluadores externos; y emiten una serie de recomendaciones para contribuir a un mejor desempeño en la gestión, los resultados y el cumplimiento de metas y objetivos de los programas que son sometidos a evaluación.</w:t>
            </w:r>
          </w:p>
          <w:p w:rsidR="00A675FF" w:rsidRDefault="00A675FF" w:rsidP="00A675FF">
            <w:pPr>
              <w:pStyle w:val="Ttulo2"/>
              <w:keepNext/>
              <w:keepLines/>
              <w:spacing w:before="40" w:line="360" w:lineRule="auto"/>
              <w:ind w:left="284" w:hanging="284"/>
              <w:jc w:val="both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2.</w:t>
            </w:r>
            <w:r>
              <w:rPr>
                <w:rFonts w:ascii="Arial" w:hAnsi="Arial" w:cs="Arial"/>
                <w:color w:val="ED7D31"/>
              </w:rPr>
              <w:tab/>
              <w:t>Metodologías para recabar y analizar información de programas de gestión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programas que cuentan con MIR y se describieron en el apartado anterior.</w:t>
            </w:r>
          </w:p>
          <w:p w:rsidR="00A675FF" w:rsidRDefault="00A675FF" w:rsidP="00A675FF">
            <w:pPr>
              <w:pStyle w:val="Ttulo2"/>
              <w:keepNext/>
              <w:keepLines/>
              <w:spacing w:before="40" w:line="360" w:lineRule="auto"/>
              <w:ind w:left="284" w:hanging="284"/>
              <w:jc w:val="both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3.</w:t>
            </w:r>
            <w:r>
              <w:rPr>
                <w:rFonts w:ascii="Arial" w:hAnsi="Arial" w:cs="Arial"/>
                <w:color w:val="ED7D31"/>
              </w:rPr>
              <w:tab/>
              <w:t>Metodologías para recabar y analizar información sobre indicadores del PMDyG</w:t>
            </w:r>
          </w:p>
          <w:p w:rsidR="00A675FF" w:rsidRDefault="00A675FF" w:rsidP="00A675F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metodología es la misma definida en el apartado anterior; los indicadores de las MIR están alineados a los objetivos del PMDyG, del Plan Nacional y de Plan Estatal.</w:t>
            </w:r>
          </w:p>
          <w:p w:rsidR="00A675FF" w:rsidRDefault="00A675FF" w:rsidP="00A675FF">
            <w:pPr>
              <w:pStyle w:val="Ttulo1"/>
              <w:keepNext/>
              <w:keepLines/>
              <w:spacing w:before="240" w:line="360" w:lineRule="auto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REFERENCIAS DOCUMENTALES</w:t>
            </w:r>
          </w:p>
          <w:p w:rsidR="00A675FF" w:rsidRDefault="00A675FF" w:rsidP="00A675FF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Sistema de Indicadores de Desempeño del Ayuntamiento de Guadalajara.</w:t>
            </w:r>
          </w:p>
          <w:p w:rsidR="00A675FF" w:rsidRDefault="00A675FF" w:rsidP="00A675FF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Matrices de Indicadores para Resultados de 2021-2024.</w:t>
            </w:r>
          </w:p>
          <w:p w:rsidR="00A675FF" w:rsidRDefault="00A675FF" w:rsidP="00A675FF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Guía para la Elaboración de la Matriz de Indicadores para Resultados del Coneval.</w:t>
            </w:r>
          </w:p>
          <w:p w:rsidR="00A675FF" w:rsidRDefault="00A675FF" w:rsidP="00A675FF">
            <w:pPr>
              <w:spacing w:line="360" w:lineRule="auto"/>
              <w:ind w:left="720" w:hanging="360"/>
              <w:jc w:val="both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>Presupuesto de Egresos 2023.</w:t>
            </w:r>
          </w:p>
          <w:p w:rsidR="00A675FF" w:rsidRDefault="00A675FF" w:rsidP="00A675FF">
            <w:pPr>
              <w:spacing w:after="120" w:line="360" w:lineRule="auto"/>
              <w:rPr>
                <w:rFonts w:ascii="Arial" w:hAnsi="Arial" w:cs="Arial"/>
              </w:rPr>
            </w:pPr>
          </w:p>
          <w:p w:rsidR="00A675FF" w:rsidRDefault="00A675FF" w:rsidP="00A675FF">
            <w:pPr>
              <w:rPr>
                <w:rFonts w:ascii="Arial" w:hAnsi="Arial" w:cs="Arial"/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276"/>
        <w:gridCol w:w="3908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A675FF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LIC.JUAN FRANCISCO RAMIREZ SALCIDO</w:t>
            </w:r>
          </w:p>
          <w:p w:rsidR="00900B0E" w:rsidRPr="001A2522" w:rsidRDefault="00A675FF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INTERINO DEL MUNICIPIO DE GUADALAJARA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A675FF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LUIS GARCÌA SOTELO</w:t>
            </w:r>
          </w:p>
          <w:p w:rsidR="00900B0E" w:rsidRPr="001A2522" w:rsidRDefault="00A675FF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A675FF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ASEJ2023-13-27-02-2024-1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5D285A"/>
    <w:rsid w:val="007326BD"/>
    <w:rsid w:val="007D77B1"/>
    <w:rsid w:val="00806603"/>
    <w:rsid w:val="00900B0E"/>
    <w:rsid w:val="00A45E83"/>
    <w:rsid w:val="00A675FF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675FF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675FF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A675FF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A675FF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5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675FF"/>
    <w:pPr>
      <w:autoSpaceDE w:val="0"/>
      <w:autoSpaceDN w:val="0"/>
      <w:adjustRightInd w:val="0"/>
      <w:spacing w:after="0" w:line="240" w:lineRule="auto"/>
      <w:outlineLvl w:val="0"/>
    </w:pPr>
    <w:rPr>
      <w:rFonts w:cs="Calibri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675FF"/>
    <w:pPr>
      <w:autoSpaceDE w:val="0"/>
      <w:autoSpaceDN w:val="0"/>
      <w:adjustRightInd w:val="0"/>
      <w:spacing w:after="0" w:line="240" w:lineRule="auto"/>
      <w:outlineLvl w:val="1"/>
    </w:pPr>
    <w:rPr>
      <w:rFonts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A675FF"/>
    <w:rPr>
      <w:rFonts w:cs="Calibr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A675FF"/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F442-3ECA-4826-AB97-A9A904D2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Vasquez Carrillo Mayra Elena</cp:lastModifiedBy>
  <cp:revision>7</cp:revision>
  <dcterms:created xsi:type="dcterms:W3CDTF">2020-05-27T16:03:00Z</dcterms:created>
  <dcterms:modified xsi:type="dcterms:W3CDTF">2024-02-27T20:23:00Z</dcterms:modified>
</cp:coreProperties>
</file>