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563DA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Municipio Guadalajara</w:t>
            </w:r>
          </w:p>
          <w:p w:rsidR="00A45E83" w:rsidRPr="00C6688B" w:rsidRDefault="00563DA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8"/>
                <w:szCs w:val="28"/>
              </w:rPr>
              <w:t>DEL 1° DE ENERO AL 30 DE JUNIO DE 2024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45E83" w:rsidRPr="007326BD" w:rsidTr="00A45E83">
        <w:tc>
          <w:tcPr>
            <w:tcW w:w="8978" w:type="dxa"/>
          </w:tcPr>
          <w:p w:rsidR="00563DAD" w:rsidRDefault="00563DAD" w:rsidP="00563DAD">
            <w:bookmarkStart w:id="3" w:name="cuerpo"/>
            <w:bookmarkEnd w:id="3"/>
          </w:p>
          <w:p w:rsidR="009800CD" w:rsidRDefault="00563DAD" w:rsidP="00563DAD">
            <w:pPr>
              <w:rPr>
                <w:rFonts w:ascii="Montserrat" w:hAnsi="Montserrat" w:cs="Montserrat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700648" cy="14668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86" cy="146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0CD" w:rsidRDefault="009800CD" w:rsidP="00563DAD">
            <w:pPr>
              <w:rPr>
                <w:rFonts w:ascii="Montserrat" w:hAnsi="Montserrat" w:cs="Montserrat"/>
              </w:rPr>
            </w:pPr>
          </w:p>
          <w:p w:rsidR="00563DAD" w:rsidRDefault="00563DAD" w:rsidP="00563DAD">
            <w:pPr>
              <w:rPr>
                <w:rFonts w:ascii="Montserrat" w:hAnsi="Montserrat" w:cs="Montserrat"/>
              </w:rPr>
            </w:pPr>
            <w:r>
              <w:rPr>
                <w:rFonts w:ascii="Montserrat" w:hAnsi="Montserrat" w:cs="Montserrat"/>
              </w:rPr>
              <w:br w:type="page"/>
            </w: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INTRODUCCIÓN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fundamento legal se muestra bajo los principios que determina la Ley de Fiscalización Superior y Rendición de Cuentas del Estado de Jalisco y sus Municipios (LFSRC), en la cual se menciona que los sujetos obligados deberán aplicar los criterios de control y rendición de cuentas, en la administración y en el ejercicio de los recursos públicos.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LFSRC menciona que las entidades fiscalizadas deberán, entre otros, rendir a la Auditoría Superior el informe de avances de gestión financiera y el informe anual de gestión financiera del ejercicio fiscal correspondiente. Además, la Ley menciona que deberán entregar un informe anual de desempeño en la gestión, el cual deberá contener cuando menos: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Evidencia sobre los logros e impactos generados en función a los objetivos estratégicos propuestos para el sector específico, en el mediano plazo, de conformidad con el Sistema de Evaluación del Desempeño.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Las metodologías utilizadas para evaluar, recabar y analizar información con criterios explícitos de interpretación de resultados. Estos informes deberán acompañarse a la cuenta pública que remita al Congreso del Estado.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ello con el propósito de que se realice la evaluación del desempeño, la cual se sustenta en la medición y revisión de las metas y objetivos alcanzados por los órdenes de gobierno estatal y municipal, así como a las entidades fiscalizables, para que se valore la eficiencia en la utilización de recursos públicos y la eficacia en el logro de los objetivos y las metas comprometidos en los instrumentos de planeación y programación de la actividad gubernamental.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A. RESULTADOS DE LA GESTIÓN</w:t>
            </w:r>
          </w:p>
          <w:p w:rsidR="00563DAD" w:rsidRDefault="00563DAD" w:rsidP="00563DAD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>Programas con Matrices de Indicadores para Resultados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Ley de Planeación Participativa para el Estado de Jalisco y sus Municipios (LPPJM) tiene por objeto, entre otros, el establecer las normas y principios básicos de la planeación de las actividades de la administración pública estatal, regional y municipal para contribuir con el desarrollo integral y sustentable del Estado, así como establecer las bases de integración y funcionamiento del Sistema Estatal de Planeación Participativa del Estado de Jalisco.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tenor, la planeación municipal de Guadalajara está orientada bajo la LPPJM y el Reglamento de Participación Ciudadana y Planeación Participativa para la Gobernanza (RGCPPG), considerando el principio de coordinación y enlace de los objetivos, estrategias y acciones que se implementarán para la consecución de los fines que generen impactos reales y medibles para la ciudadanía.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de los principales instrumentos de planeación participativa que permite definir la ruta que guiará las acciones de gobierno para la transformación de Guadalajara es el Plan Municipal de Desarrollo y Gobernanza 2021-2024, 500 | Visión 2042 (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se fundamenta de conformidad con el artículo 45 de la LPPEJM en el cual se menciona que los municipios deberán contar con un Plan Municipal de Desarrollo y Gobernanza, y en el artículo 46, en donde se menciona que deberá precisar los objetivos, estrategias, metas e indicadores que coadyuven al desarrollo integral del municipio a corto, mediano y largo plazo.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visión 2042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se integró gracias al resultado de un proceso de discusión, análisis y concertación entre los diferentes sectores de la sociedad tapatía, representados en el Consejo Municipal de Participación Ciudadana y el Consejo de Participación y Planeación para el Desarrollo Municipal, orientado por el principio de la gobernanza, en el cual la ciudadanía y el Gobierno Municipal definieron los objetivos estratégicos de mediano y largo plazo, así como las estrategias y líneas de acción a fin de organizar y armonizar los esfuerzos para mejorar las condiciones de vida de la población.</w:t>
            </w:r>
          </w:p>
          <w:p w:rsidR="00563DAD" w:rsidRDefault="00563DAD" w:rsidP="00563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este sentido, 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contiene seis ejes de desarrollo, cinco estrategias transversales, 21 objetivos de desarrollo y 22 objetivos transversales:</w:t>
            </w:r>
          </w:p>
          <w:p w:rsidR="00563DAD" w:rsidRDefault="00563DAD" w:rsidP="00563DA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5524500" cy="39528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integra una visión de largo plazo pretendiendo la continuidad de las estrategias y acciones que componen los programas públicos implementados en el municipio para seguir avanzando hacia la construcción de una ciudad integrada, articulada, conectada, sostenible, digital, inclusiva, accesible y segura para toda la ciudadanía. Esta ruta, se suma al llamado de las Naciones Unidas en la Agenda 2030 con la intención de contribuir en el cumplimiento a las metas trazadas en los Objetivos de Desarrollo Sostenible. En otras palabras, 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establece los aspectos nodales a seguir para lograr que la población del municipio mejore su calidad de vida; y concentra las prioridades en donde se deben centrar los esfuerzos.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 de los instrumentos de planeación participativa son los programas presupuestarios que contemplan un conjunto interrelacionado de actividades, que como procesos sistemáticos en las dependencias o entidades tienen la finalidad de atender un problema público definido, a través de la entrega de beneficios tangibles, sean económicos, en especie, de infraestructura o servicios;</w:t>
            </w:r>
            <w:r>
              <w:rPr>
                <w:rFonts w:ascii="Arial" w:hAnsi="Arial" w:cs="Arial"/>
              </w:rPr>
              <w:br/>
              <w:t xml:space="preserve">de corto plazo, y especifican su alineación a los objetivos del Plan y del Plan Estatal de Desarrollo y Gobernanza; los bienes y servicios a entregar, la población beneficiaria, las actividades a desarrollar, así como los indicadores y los recursos asignados para el ejercicio respectivo. 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asegurar el cumplimiento de los objetivos de los instrumentos de planeación, todas las dependencias y entidades de la administración pública municipal participan, en el ámbito de sus competencias, en todas las etapas del proceso de planeación participativa, el cual deberá llevarse a cabo como un medio eficaz de desempeño que contribuya al desarrollo de los habitantes, entendido como la evolución integral, sustentable, progresiva </w:t>
            </w:r>
            <w:r>
              <w:rPr>
                <w:rFonts w:ascii="Arial" w:hAnsi="Arial" w:cs="Arial"/>
              </w:rPr>
              <w:lastRenderedPageBreak/>
              <w:t>y permanente de la ciudadanía hacia mejores niveles de vida.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modelo de Gestión Pública para Resultados (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>) propone reemplazar el modelo tradicional de organización y entrega de servicios públicos, la cual se orientaba bajo los principios de la jerarquía burocrática, la planificación central y el control directo; para modificarlo por una gerencia pública basada en una racionalidad económica que busca eficiencia y eficacia.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800C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centro de la 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 xml:space="preserve"> se encuentra el término de valor público, el cual pretende dar respuestas eficaces a los problemas relevantes de los ciudadanos y de los servicios e impactos o procesos que la sociedad reconoce como valiosos; este término pone su enfoque principalmente en los cambios sociales que deberán ser observables y medibles, y que responden a las demandas sociales reconocidas mediante un proceso de planeación participativa. 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 xml:space="preserve"> tiene una lógica causal, es decir, diversos insumos y actividades conducen lógicamente a órdenes mayores de resultados (productos, resultados e impacto):</w:t>
            </w:r>
          </w:p>
          <w:p w:rsidR="00563DAD" w:rsidRDefault="00563DAD" w:rsidP="00563DAD">
            <w:pPr>
              <w:rPr>
                <w:rFonts w:ascii="Times New Roman" w:hAnsi="Times New Roman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correcta implementación de esta lógica causal o cadena de resultados permite que los insumos se combinen de tal manera que se logre la entrega de productos y/o servicios a una población objetivo, cuyos consumos, actitudes, conocimientos y/o comportamientos se esperan cambiar positivamente. Estos cambios en consumo, actitud, conocimientos y/o comportamientos se denominan “efectos o resultados” que deberán ser observables y medibles para conocer su contribución en el mejoramiento de las condiciones o calidad de vida de la sociedad o de una parte ella.  Estos impactos contribuyen a la construcción de la visión 2042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contexto y, enfocándonos en el monitoreo, en Guadalajara aplicamos la Metodología del Marco Lógico (MML) como una herramienta para la medición de resultados que permite mejorar el diseño y la lógica interna de los programas presupuestarios, así como identificar de manera oportuna retos y necesidades de los programas con el fin de que los actores relevantes puedan tomar decisiones pertinentes en torno a su diseño e implementación.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MML nos permite diseñar las Matrices de Indicadores para Resultados (MIR) que derivan en el seguimiento constante de los indicadores para dar cuenta de los bienes o servicios que otorgamos en Guadalajara. Estos indicadores son medidos periódicamente a través de la plataforma interna denominada Sistema de Indicadores de Desempeño </w:t>
            </w:r>
            <w:r>
              <w:rPr>
                <w:rFonts w:ascii="Arial" w:hAnsi="Arial" w:cs="Arial"/>
              </w:rPr>
              <w:lastRenderedPageBreak/>
              <w:t>(SID).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 las MIR ha orientado a fijar las miradas en los resultados e impactos de los programas, ya que requieren información sobre un conjunto de indicadores que muestren no sólo la evaluación del desempeño de un programa o proyecto en términos de la ejecución del gasto, sino también del impacto de las tareas o acciones de los programas para cumplir con el logro de las metas y los objetivos de política pública. Parte del proceso municipal fue rediseñar las MIR y alinearlas a la planeación estratégica a través de la resolución de los siguientes cuestionamientos: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43175" cy="12192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71750" cy="2514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Ayuntamiento de Guadalajara tiene 31 programas presupuestarios, mismos que están alineados a los objetivos del Plan Nacional de Desarrollo, al Plan Estatal de Desarrollo y Gobernanza, a la Agenda 2030 y al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. Cada uno de los programas cuenta con indicadores a nivel de fin, propósito, componente y actividad con base en la MML. </w:t>
            </w: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800CD" w:rsidRDefault="009800C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2"/>
              <w:gridCol w:w="4010"/>
            </w:tblGrid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Responsable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Combate a la Desigualdad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Apoyo y Atención a la Niñez y Juventudes 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Comisaría de la Policía de Guadalajara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Consejería Jurídica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5. Comunicación institucional                                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de análisis estratégico y comunicación institucional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Servicios Municipales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 Servicios Públicos funcionales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Desarrollo Económico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 Emprendimiento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 Jefatura de Gabinete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Jefatura de Gabinete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 Mejora de la Gestión Gubernamental e Imagen del Centro Histórico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Presidencia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 Protección civil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Secretaría General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Transparencia y Buenas Prácticas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 Procuración de justicia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Sindicatura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Administración e Innovación Gubernamental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Contraloría Ciudadana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de General de Gestión Integral de la Ciudad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Construcción a la comunidad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 Oferta educativa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Tesorería</w:t>
                  </w: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DAD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Combate a la Desigualdad</w:t>
                  </w:r>
                </w:p>
              </w:tc>
            </w:tr>
          </w:tbl>
          <w:p w:rsidR="00563DAD" w:rsidRDefault="00563DAD" w:rsidP="00563DA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800CD" w:rsidRDefault="009800CD" w:rsidP="00563DA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MIR se componen por con 547 indicadores; 31 a nivel de fin, 31 a nivel de propósito, 126 a nivel de componente y 359 a nivel de actividad.</w:t>
            </w:r>
          </w:p>
          <w:p w:rsidR="00563DAD" w:rsidRDefault="00563DAD" w:rsidP="00563D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 el análisis, se muestran los indicadores en tres categorías:</w:t>
            </w:r>
          </w:p>
          <w:p w:rsidR="00563DAD" w:rsidRDefault="00563DAD" w:rsidP="00563DAD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Verde: indicadores que mostraron un cumplimiento mayor o igual al 90%.</w:t>
            </w:r>
          </w:p>
          <w:p w:rsidR="00563DAD" w:rsidRDefault="00563DAD" w:rsidP="00563DAD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Amarillo: indicadores que mostraron un cumplimiento entre 60% a 89%.</w:t>
            </w:r>
          </w:p>
          <w:p w:rsidR="00563DAD" w:rsidRDefault="00563DAD" w:rsidP="00563DAD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Rojo: indicadores que mostraron un cumplimiento menor o igual a 59%.</w:t>
            </w:r>
          </w:p>
          <w:p w:rsidR="00563DAD" w:rsidRDefault="00563DAD" w:rsidP="00563DAD">
            <w:pPr>
              <w:spacing w:line="36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corte al 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Arial" w:hAnsi="Arial" w:cs="Arial"/>
              </w:rPr>
              <w:t xml:space="preserve"> de junio del 2024, se observó que el 25% de los indicadores alcanzaron un cumplimiento mayor o igual al 90%; 15% un cumplimiento entre 60 a 89%; y 60% un cumplimiento menor o igual a 59%, esto se debe a que la meta estipulada para la mayoría de los indicadores es anual y se espera su cumplimiento al término del segundo trimestre del año.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0"/>
              <w:gridCol w:w="2000"/>
              <w:gridCol w:w="1887"/>
              <w:gridCol w:w="2034"/>
              <w:gridCol w:w="1017"/>
            </w:tblGrid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Nivel de la MIR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Verde (mayor o igual 90)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Amarillo (entre 60 a 89)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Rojo (menor o igual a 59)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Propósito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Componente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126</w:t>
                  </w:r>
                </w:p>
              </w:tc>
            </w:tr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359</w:t>
                  </w:r>
                </w:p>
              </w:tc>
            </w:tr>
            <w:tr w:rsidR="00563DAD">
              <w:trPr>
                <w:jc w:val="center"/>
              </w:trPr>
              <w:tc>
                <w:tcPr>
                  <w:tcW w:w="1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Cumplimiento</w:t>
                  </w:r>
                </w:p>
              </w:tc>
              <w:tc>
                <w:tcPr>
                  <w:tcW w:w="2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2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3DAD" w:rsidRDefault="00563DAD" w:rsidP="00563DA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continuación, se muestra el avance para cada uno de los programas presupuestarios: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9"/>
              <w:gridCol w:w="1073"/>
              <w:gridCol w:w="1079"/>
              <w:gridCol w:w="1071"/>
            </w:tblGrid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Verde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Amarillo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Rojo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Apoyo y Atención a la Niñez y Juventudes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 Comunicación Institucional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 Servicios Públicos funcionales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9. Emprendimiento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 Desarrollo de la gestión pública para la operación eficiente y eficaz del Ayuntamiento de Guadalajara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 Mejora de la Gestión Gubernamental e Imagen del Centro Histórico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 Protección civil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94%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 Procuración de justicia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59%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 Oferta educativa y apoyo a la niñez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80%</w:t>
                  </w:r>
                </w:p>
              </w:tc>
            </w:tr>
            <w:tr w:rsidR="00563DAD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</w:tbl>
          <w:p w:rsidR="00563DAD" w:rsidRDefault="00563DA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9800CD" w:rsidRDefault="009800CD" w:rsidP="00563DAD">
            <w:pPr>
              <w:rPr>
                <w:rFonts w:ascii="Times New Roman" w:hAnsi="Times New Roman"/>
                <w:color w:val="2F5496"/>
              </w:rPr>
            </w:pPr>
          </w:p>
          <w:p w:rsidR="00563DAD" w:rsidRDefault="00563DAD" w:rsidP="00563DAD">
            <w:pPr>
              <w:rPr>
                <w:rFonts w:ascii="Times New Roman" w:hAnsi="Times New Roman"/>
                <w:color w:val="2F5496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563DAD" w:rsidRDefault="00563DAD" w:rsidP="00563DAD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2.</w:t>
            </w:r>
            <w:r>
              <w:rPr>
                <w:rFonts w:ascii="Arial" w:hAnsi="Arial" w:cs="Arial"/>
                <w:color w:val="ED7D31"/>
              </w:rPr>
              <w:tab/>
              <w:t>Resultados a partir de indicadores de desarrollo del PMDG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continuación, mostramos los avances de cumplimiento por Eje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y por objetivo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Arial" w:hAnsi="Arial" w:cs="Arial"/>
              </w:rPr>
              <w:t xml:space="preserve"> con corte a junio del 2024: </w:t>
            </w:r>
          </w:p>
          <w:p w:rsidR="00563DAD" w:rsidRDefault="00563DAD" w:rsidP="00563DAD">
            <w:pPr>
              <w:spacing w:line="360" w:lineRule="auto"/>
              <w:jc w:val="center"/>
              <w:rPr>
                <w:rFonts w:ascii="Times New Roman" w:hAnsi="Times New Roman"/>
                <w:color w:val="2F5496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495925" cy="62103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62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AD" w:rsidRDefault="00563DAD" w:rsidP="00563DAD">
            <w:pPr>
              <w:spacing w:line="360" w:lineRule="auto"/>
              <w:rPr>
                <w:rFonts w:ascii="Times New Roman" w:hAnsi="Times New Roman"/>
                <w:color w:val="2F5496"/>
                <w:highlight w:val="yellow"/>
              </w:rPr>
            </w:pPr>
          </w:p>
          <w:p w:rsidR="00563DAD" w:rsidRDefault="00563DAD" w:rsidP="00563DAD">
            <w:pPr>
              <w:rPr>
                <w:rFonts w:ascii="Times New Roman" w:hAnsi="Times New Roman"/>
                <w:color w:val="ED7D31"/>
                <w:highlight w:val="yellow"/>
              </w:rPr>
            </w:pPr>
            <w:r>
              <w:rPr>
                <w:rFonts w:ascii="Arial" w:hAnsi="Arial" w:cs="Arial"/>
                <w:color w:val="ED7D31"/>
                <w:highlight w:val="yellow"/>
              </w:rPr>
              <w:br w:type="page"/>
            </w:r>
          </w:p>
          <w:p w:rsidR="00563DAD" w:rsidRDefault="00563DAD" w:rsidP="00563DAD">
            <w:pPr>
              <w:rPr>
                <w:rFonts w:ascii="Times New Roman" w:hAnsi="Times New Roman"/>
                <w:color w:val="ED7D31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6172200" cy="66960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66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ED7D31"/>
                <w:highlight w:val="yellow"/>
              </w:rPr>
              <w:br w:type="page"/>
            </w: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  <w:highlight w:val="yellow"/>
              </w:rPr>
            </w:pPr>
            <w:r>
              <w:rPr>
                <w:rFonts w:ascii="Arial" w:hAnsi="Arial" w:cs="Arial"/>
                <w:color w:val="ED7D31"/>
                <w:highlight w:val="yellow"/>
              </w:rPr>
              <w:t>B. PROCESOS CONCLUIDOS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El artículo 37, numeral 1, de la Ley de Fiscalización Superior y Rendición de Cuentas para el Estado de Jalisco y sus Municipios, establece que los avances de gestión financiera deben contener los procesos concluidos, los cuales se entienden como los casos en el que se cumplieron las metas al 100%, o bien se ejerció el 100% del presupuesto para el programa. 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No contamos aún con procesos concluidos debido a que estamos presentando el avance al primer semestre del 2024, sin embargo, presentamos el monto autorizado y modificado desglosado por capítulo para cada uno de los programas de la administración de 2021-2024: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3"/>
              <w:gridCol w:w="2427"/>
              <w:gridCol w:w="2198"/>
            </w:tblGrid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2E74B5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Programa y capítulos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Importe Inicial Autorizado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Importe Modificado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lastRenderedPageBreak/>
                    <w:t>Áreas de coordinación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$250,177,067.45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$178,570,319.21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$219,188,067.45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$146,332,867.02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$4,298,000.00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$3,422,493.62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$5,137,000.00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$7,616,484.65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$21,494,000.00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$21,132,573.92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$65,900.00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Asistencia Social y Comunitaria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$724,156,552.12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$714,404,141.24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$168,266,552.12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$161,319,761.24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$4,660,000.00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$2,547,729.64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$4,595,000.00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$4,200,650.20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$546,303,000.00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$545,984,000.16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$352,000.00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Combate a la Corrupción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$41,333,453.00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$39,610,197.30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$40,204,453.00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$39,162,508.71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$811,000.00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$294,688.59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$318,000.00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$153,000.00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Comunicación Institucional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$78,510,382.89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$77,854,930.46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$25,726,382.89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$25,354,730.46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$1,152,000.00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$897,780.00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$50,862,000.00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$50,832,420.00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$770,000.00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$770,000.00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Desarrollo Administrativo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$803,853,148.16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$933,216,343.20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$627,100,148.16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$673,081,351.05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$14,293,000.00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$55,038,481.75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$162,460,000.00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$204,993,978.28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$102,532.12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Educación y cultura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$270,391,285.32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$264,562,233.47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$247,330,285.32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$245,483,481.10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$6,279,000.00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$5,388,744.07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$12,296,000.00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$9,669,987.64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$1,359,000.00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$1,199,925.20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$3,127,000.00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$2,820,095.46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lastRenderedPageBreak/>
                    <w:t>Emprendimiento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$50,244,000.00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$47,789,672.47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$50,244,000.00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$47,789,672.47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Fomento a la inversión, turismo, empleo y competitividad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$11,512,000.00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$27,618,586.04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$630,000.00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$6,805,222.88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$10,882,000.00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$10,882,000.00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$9,931,363.16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Igualdad de género y oportunidades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$154,668,000.00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$137,634,342.96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$154,668,000.00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$137,634,342.96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Innovación Gubernamental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$41,162,000.00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$40,932,608.40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$486,000.00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$283,300.00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$36,474,000.00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$36,447,308.40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$4,202,000.00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Justicia Municipal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$552,000.00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$656,000.00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$512,000.00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$509,765.80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$46,234.20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Manejo de la Hacienda Municipal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$1,014,209,458.35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$892,732,956.59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$142,188,302.20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$138,514,790.52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$18,510,000.00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$22,051,152.82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$474,688,740.00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$393,340,763.36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$49,000,000.00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$17,656,000.00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$18,821,810.99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9000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$309,166,416.15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$271,004,438.90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Medio ambiente y cambio climático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$1,325,000.00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$4,690,909.47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$850,000.00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$535,000.00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$3,365,909.47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Movilidad y Transporte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$16,208,000.00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$16,078,000.00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$1,867,000.00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$1,823,610.00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$13,681,000.00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$13,504,390.00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 xml:space="preserve">Obra pública y control de la edificación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$527,777,000.00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$587,794,866.65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$157,000.00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$932,000.00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$932,000.00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$226,688,000.00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$564,055,377.69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7000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$300,000,000.00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$22,650,488.96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Obras de Infraestructura con recursos federalizados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$109,175,549.00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$116,261,319.34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$109,175,549.00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$116,261,319.34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Orden en La Ciudad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$239,658,633.99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$233,875,663.31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$228,039,633.99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$224,936,684.89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$4,634,000.00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$2,532,978.42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$704,000.00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$125,000.00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$6,281,000.00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Participación y Colaboración Ciudadana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$6,210,000.00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$6,910,000.00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$2,466,000.00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$366,000.00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$3,744,000.00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$6,244,000.00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Protección civil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$251,766,083.71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$242,295,226.95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$224,938,083.71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$208,764,764.35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$12,785,000.00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$12,882,583.95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$593,000.00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$7,011,797.37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$166,081.28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$13,450,000.00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$13,470,000.00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Salud, deporte y bienestar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$661,748,227.92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$684,722,432.43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$393,967,227.92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$381,989,925.96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$41,210,000.00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$47,699,686.13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$21,578,000.00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$26,115,175.16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$204,985,000.00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$217,985,000.00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$10,932,645.18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Seguridad Ciudadana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$1,626,802,067.85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$1,529,260,729.18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$1,460,597,067.85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$1,320,998,865.47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$129,925,000.00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$159,342,208.70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$24,151,000.00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$32,291,589.88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$5,549,000.00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$5,799,176.08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$6,580,000.00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$7,552,472.04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$3,276,417.01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básicos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$1,124,889,129.85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$1,187,770,573.05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$41,644,000.00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$40,900,100.98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$1,079,245,129.85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$1,120,930,472.07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$25,940,000.00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complementarios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$776,162,346.50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$808,625,093.84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$710,140,346.50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$705,717,557.56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$46,440,000.00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$57,810,432.76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$19,582,000.00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$43,839,683.52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$1,257,420.00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registrales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$327,518,919.76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$365,233,401.50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$317,948,919.76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$359,767,749.93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$4,789,000.00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$3,587,651.57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$4,781,000.00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$1,838,000.00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Sindicatura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$70,897,529.13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$70,034,260.50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$66,555,529.13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$65,833,994.48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$520,000.00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$478,266.02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$3,822,000.00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$3,717,000.00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$5,000.00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Transparencia y Acceso a la Información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$177,000.00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$109,390.84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$33,775.84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$75,615.00</w:t>
                  </w:r>
                </w:p>
              </w:tc>
            </w:tr>
            <w:tr w:rsidR="00563DAD">
              <w:tc>
                <w:tcPr>
                  <w:tcW w:w="43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Total general</w:t>
                  </w:r>
                </w:p>
              </w:tc>
              <w:tc>
                <w:tcPr>
                  <w:tcW w:w="244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$9,181,084,835.00</w:t>
                  </w:r>
                </w:p>
              </w:tc>
              <w:tc>
                <w:tcPr>
                  <w:tcW w:w="220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63DAD" w:rsidRDefault="00563DA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$9,209,244,198.40</w:t>
                  </w:r>
                </w:p>
              </w:tc>
            </w:tr>
          </w:tbl>
          <w:p w:rsidR="00563DAD" w:rsidRDefault="00563DAD" w:rsidP="00563DAD">
            <w:pPr>
              <w:spacing w:after="120" w:line="360" w:lineRule="auto"/>
              <w:rPr>
                <w:rFonts w:ascii="Arial" w:hAnsi="Arial" w:cs="Arial"/>
              </w:rPr>
            </w:pP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lastRenderedPageBreak/>
              <w:t>C. AVANCES INFERIORES A LAS METAS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 finalidad de dar continuidad a la mejora de los procesos de seguimiento y evaluación, es necesario comunicar que hay indicadores que no alcanzaron sus metas anuales programas, sin embargo, mostraron avances significativos. 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  <w:p w:rsidR="00563DAD" w:rsidRDefault="00563DAD" w:rsidP="00563DAD">
            <w:pPr>
              <w:rPr>
                <w:rFonts w:ascii="Times New Roman" w:hAnsi="Times New Roman"/>
                <w:noProof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0225" cy="35147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546 indicadores concentrados en las 31 MIR, pudimos observar que 137 mostraron un cumplimiento mayor a 90%; 81 mostraron avances entre el 60% al 89%; 329 menores o iguales a 59%. </w:t>
            </w:r>
          </w:p>
          <w:p w:rsidR="00563DAD" w:rsidRDefault="00563DAD" w:rsidP="00563DA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63DAD" w:rsidRDefault="00563DAD" w:rsidP="00563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Finalmente, algunas de las causas por las cuales los indicadores no cumplieron con la totalidad de la meta programada fueron: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La programación de la meta es anual, por lo tanto, este reporte es una entrega parcial que abarca los avances realizados con corte al primer semestre; la programación del cumplimiento total se espera para el segundo semestre del año en curso.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Se está a la espera de la entrega de los apoyos o están pendientes aprobaciones de diversos documentos, reglas o lineamientos.</w:t>
            </w:r>
          </w:p>
          <w:p w:rsidR="009800CD" w:rsidRDefault="009800C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</w:p>
          <w:p w:rsidR="009800CD" w:rsidRDefault="009800C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</w:p>
          <w:p w:rsidR="009800CD" w:rsidRDefault="009800C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lastRenderedPageBreak/>
              <w:t>D. REFORMULACIÓN DE PROGRAMAS</w:t>
            </w:r>
          </w:p>
          <w:p w:rsidR="00563DAD" w:rsidRDefault="00563DAD" w:rsidP="00563DAD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>Resultados de evaluaciones externas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finalidad de obtener información acerca del desempeño de las políticas y programas; así como tener herramientas para la toma de decisiones para la consecución de fines y objetivos se emitió el Programa Anual de Evaluación 2024 (PAE 2024) para el municipio de Guadalajara, en el cual se establecieron las disposiciones generales de carácter técnico, normativo y administrativo para realizar la Evaluación Estratégica de Consistencia y Resultados de los siguientes fondos federales, correspondientes al ejercicio fiscal 2023: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Fondo para la Infraestructura Social Municipal y de las Demarcaciones del Distrito Federal, FISM-DF.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Fondo de Aportaciones para el Fortalecimiento de los Municipios y de las Demarcaciones Territoriales del Distrito Federal, FORTAMUN-DF.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objetivos específicos de estas evaluaciones son verificar el cumplimiento de las acciones programadas mediante el análisis del cumplimiento de objetivos y metas; analizar y reportar la evolución de la cobertura de atención; analizar la evolución del ejercicio de los recursos del Fondo o proyecto de que se trate; realizar un análisis interno que permita identificar las principales fortalezas, retos y oportunidades, y emitir recomendaciones pertinentes; identificar los hallazgos relevantes derivados de la evaluación; e identificar los principales Aspectos Susceptibles de Mejora.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PAE 2024 puede ser consultado en: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https://transparencia.guadalajara.gob.mx/sites/default/files/GacetaTomoIIIEjemplar2Secc2aMayo3-2024.pdf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2.</w:t>
            </w:r>
            <w:r>
              <w:rPr>
                <w:rFonts w:ascii="Arial" w:hAnsi="Arial" w:cs="Arial"/>
                <w:color w:val="ED7D31"/>
              </w:rPr>
              <w:tab/>
              <w:t>Reformulación de programas con MIR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administración municipal realizó el proceso de planeación, programación y </w:t>
            </w:r>
            <w:proofErr w:type="spellStart"/>
            <w:r>
              <w:rPr>
                <w:rFonts w:ascii="Arial" w:hAnsi="Arial" w:cs="Arial"/>
              </w:rPr>
              <w:t>presupuestación</w:t>
            </w:r>
            <w:proofErr w:type="spellEnd"/>
            <w:r>
              <w:rPr>
                <w:rFonts w:ascii="Arial" w:hAnsi="Arial" w:cs="Arial"/>
              </w:rPr>
              <w:t xml:space="preserve"> para el ejercicio 2024 atendiendo a la normatividad aplicable y a los objetivos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, fijando para cada programa presupuestario las metas anuales correspondientes y aplicando la Metodología del Marco Lógico con una visión de Gestión para Resultados.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 este marco metodológico, se llevó a cabo un proceso de actualización de las MIR, con el fin de fortalecer el seguimiento, supervisión y monitoreo de la planeación del gasto y los resultados de la gestión municipal que permitió el monitoreo de las políticas y programas públicos.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resultado de este proceso, se elaboraron 31 MIR, que cubren el total de los </w:t>
            </w:r>
            <w:r>
              <w:rPr>
                <w:rFonts w:ascii="Arial" w:hAnsi="Arial" w:cs="Arial"/>
              </w:rPr>
              <w:lastRenderedPageBreak/>
              <w:t>recursos presupuestados y de las Unidades Responsables de Gasto, incluyendo áreas de gestión interna; logrando con ello un proceso integral de planeación presupuestal que permitió medir el desempeño de todas las áreas con base en sus resultados.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la reformulación de las MIR se consideraron los siguientes aspectos: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Limitaciones presupuestales de origen presupuestal que afectan directamente a la programación de las metas. 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Alineación de los indicadores a los Objetivos de Desarrollo Sustentable.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Adaptación de indicadores a temas prioritarios del municipio, tal como: seguridad ciudadana, apoyo a juventudes, inclusión de áreas nuevas, acciones preventivas, reactivación económica, cuidado del medio ambiente y reactivación del centro histórico, entre otros. </w:t>
            </w:r>
          </w:p>
          <w:p w:rsidR="00563DAD" w:rsidRDefault="00563DAD" w:rsidP="00563DAD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nueva reformulación de las MIR, permitió concentrar la información relativamente de los programas presupuestarios, así como: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Vincular el gasto de cada dependencia, al logro de objetivos específicos.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Cumplir las obligaciones de fiscalización.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Mejorar la calidad de la información estadística. </w:t>
            </w:r>
          </w:p>
          <w:p w:rsidR="00563DAD" w:rsidRDefault="00563DAD" w:rsidP="00563DAD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las 31 MIR se derivaron los siguientes objetivos del resumen narrativo: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3895725" cy="1390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</w:t>
            </w:r>
          </w:p>
          <w:p w:rsidR="00563DAD" w:rsidRDefault="00563DAD" w:rsidP="00563DAD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3.</w:t>
            </w:r>
            <w:r>
              <w:rPr>
                <w:rFonts w:ascii="Arial" w:hAnsi="Arial" w:cs="Arial"/>
                <w:color w:val="ED7D31"/>
              </w:rPr>
              <w:tab/>
              <w:t>Reformulación de programas de gestión</w:t>
            </w:r>
          </w:p>
          <w:p w:rsidR="00563DAD" w:rsidRDefault="00563DAD" w:rsidP="00563D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los programas que se reformularon cuentan con MIR y se describieron en el apartado anterior. </w:t>
            </w:r>
          </w:p>
          <w:p w:rsidR="00563DAD" w:rsidRDefault="00563DAD" w:rsidP="00563DA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REFERENCIAS DOCUMENTALES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Sistema de Indicadores de Desempeño del Ayuntamiento de Guadalajara.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Matrices de Indicadores para Resultados de 2021-2024.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Guía para la Elaboración de la Matriz de Indicadores para Resultados del </w:t>
            </w:r>
            <w:proofErr w:type="spellStart"/>
            <w:r>
              <w:rPr>
                <w:rFonts w:ascii="Arial" w:hAnsi="Arial" w:cs="Arial"/>
              </w:rPr>
              <w:t>Coneval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Presupuesto de Egresos 2024.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Programa Anual de Evaluación 2024 para el municipio de Guadalajara.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Evaluación de consistencia y resultados del Fondo para la Infraestructura Social Municipal y de las demarcaciones del Distrito Federal (FISM-DF).</w:t>
            </w:r>
          </w:p>
          <w:p w:rsidR="00563DAD" w:rsidRDefault="00563DAD" w:rsidP="00563DA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Evaluación de consistencia y resultados del Fondo para el Fortalecimiento de los Municipios y las demarcaciones territoriales del Distrito Federal (FORTAMUN).</w:t>
            </w:r>
          </w:p>
          <w:p w:rsidR="00563DAD" w:rsidRDefault="00563DAD" w:rsidP="00563DAD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563DA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JUAN FRANCISCO RAMIREZ SALCIDO</w:t>
            </w:r>
          </w:p>
          <w:p w:rsidR="00937252" w:rsidRPr="00EB7BF7" w:rsidRDefault="00563DA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INTERINO DEL MUNICIPIO DE GUADALAJARA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563DA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LUIS GARCÌA SOTELO</w:t>
            </w:r>
          </w:p>
          <w:p w:rsidR="00937252" w:rsidRPr="00EB7BF7" w:rsidRDefault="00563DA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7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563DAD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ASEJ2024-15-19-07-2024-1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9800CD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3006"/>
    <w:rsid w:val="00563DAD"/>
    <w:rsid w:val="007326BD"/>
    <w:rsid w:val="00806603"/>
    <w:rsid w:val="00937252"/>
    <w:rsid w:val="009800CD"/>
    <w:rsid w:val="00A45E83"/>
    <w:rsid w:val="00C27B94"/>
    <w:rsid w:val="00C6688B"/>
    <w:rsid w:val="00C87550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3DA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63DAD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563DAD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563DA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3DA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63DAD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563DAD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563DA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3960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 Heriberto Ocaña Navarro</dc:creator>
  <cp:lastModifiedBy>Vasquez Carrillo Mayra Elena</cp:lastModifiedBy>
  <cp:revision>7</cp:revision>
  <cp:lastPrinted>2024-07-22T19:00:00Z</cp:lastPrinted>
  <dcterms:created xsi:type="dcterms:W3CDTF">2020-05-27T16:09:00Z</dcterms:created>
  <dcterms:modified xsi:type="dcterms:W3CDTF">2024-07-22T19:01:00Z</dcterms:modified>
</cp:coreProperties>
</file>