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60"/>
      </w:tblGrid>
      <w:tr w:rsidR="008B46DD" w:rsidRPr="008B46DD" w:rsidTr="008B46DD">
        <w:trPr>
          <w:trHeight w:val="30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DD" w:rsidRPr="008B46DD" w:rsidRDefault="008B46DD" w:rsidP="008B4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8B46DD"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31750</wp:posOffset>
                  </wp:positionV>
                  <wp:extent cx="1096010" cy="526415"/>
                  <wp:effectExtent l="19050" t="0" r="8890" b="0"/>
                  <wp:wrapNone/>
                  <wp:docPr id="5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7502" t="5688" r="74884" b="87852"/>
                          <a:stretch/>
                        </pic:blipFill>
                        <pic:spPr bwMode="auto">
                          <a:xfrm>
                            <a:off x="0" y="0"/>
                            <a:ext cx="1096010" cy="526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xdr="http://schemas.openxmlformats.org/drawingml/2006/spreadsheetDrawing" xmlns="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B46DD">
              <w:rPr>
                <w:noProof/>
                <w:sz w:val="18"/>
              </w:rPr>
              <w:t xml:space="preserve"> </w:t>
            </w:r>
            <w:r w:rsidRPr="008B46DD">
              <w:rPr>
                <w:rFonts w:ascii="Calibri" w:eastAsia="Times New Roman" w:hAnsi="Calibri" w:cs="Calibri"/>
                <w:noProof/>
                <w:color w:val="000000"/>
                <w:sz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15240</wp:posOffset>
                  </wp:positionV>
                  <wp:extent cx="1645920" cy="548640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62227" t="88128" r="7684" b="4137"/>
                          <a:stretch/>
                        </pic:blipFill>
                        <pic:spPr bwMode="auto">
                          <a:xfrm>
                            <a:off x="0" y="0"/>
                            <a:ext cx="1626868" cy="53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xdr="http://schemas.openxmlformats.org/drawingml/2006/spreadsheetDrawing" xmlns="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0"/>
            </w:tblGrid>
            <w:tr w:rsidR="008B46DD" w:rsidRPr="008B46DD">
              <w:trPr>
                <w:trHeight w:val="300"/>
                <w:tblCellSpacing w:w="0" w:type="dxa"/>
              </w:trPr>
              <w:tc>
                <w:tcPr>
                  <w:tcW w:w="9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B46DD" w:rsidRPr="008B46DD" w:rsidRDefault="008B46DD" w:rsidP="008B4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8"/>
                      <w:szCs w:val="20"/>
                    </w:rPr>
                  </w:pPr>
                  <w:r w:rsidRPr="008B46DD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8"/>
                      <w:szCs w:val="20"/>
                    </w:rPr>
                    <w:t xml:space="preserve"> H. AYUNTAMIENTO DE GUADALAJARA</w:t>
                  </w:r>
                </w:p>
              </w:tc>
            </w:tr>
          </w:tbl>
          <w:p w:rsidR="008B46DD" w:rsidRPr="008B46DD" w:rsidRDefault="008B46DD" w:rsidP="008B4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8B46DD" w:rsidRPr="008B46DD" w:rsidTr="008B46DD">
        <w:trPr>
          <w:trHeight w:val="30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6DD" w:rsidRPr="008B46DD" w:rsidRDefault="008B46DD" w:rsidP="008B4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20"/>
              </w:rPr>
            </w:pPr>
            <w:r w:rsidRPr="008B46DD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20"/>
              </w:rPr>
              <w:t xml:space="preserve"> TESORERÍA MUNICIPAL</w:t>
            </w:r>
          </w:p>
        </w:tc>
      </w:tr>
      <w:tr w:rsidR="008B46DD" w:rsidRPr="008B46DD" w:rsidTr="008B46DD">
        <w:trPr>
          <w:trHeight w:val="30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6DD" w:rsidRPr="008B46DD" w:rsidRDefault="008B46DD" w:rsidP="008B4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20"/>
              </w:rPr>
            </w:pPr>
            <w:r w:rsidRPr="008B46DD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20"/>
              </w:rPr>
              <w:t xml:space="preserve"> DIRECCIÓN DE INGRESOS</w:t>
            </w:r>
          </w:p>
        </w:tc>
      </w:tr>
    </w:tbl>
    <w:p w:rsidR="008B46DD" w:rsidRDefault="008B46DD" w:rsidP="008B46DD">
      <w:pPr>
        <w:spacing w:after="0"/>
        <w:jc w:val="both"/>
        <w:rPr>
          <w:b/>
          <w:color w:val="A6A6A6" w:themeColor="background1" w:themeShade="A6"/>
          <w:sz w:val="24"/>
        </w:rPr>
      </w:pPr>
    </w:p>
    <w:p w:rsidR="00F625C5" w:rsidRPr="00F625C5" w:rsidRDefault="00F625C5" w:rsidP="008B46DD">
      <w:pPr>
        <w:spacing w:after="0"/>
        <w:jc w:val="both"/>
        <w:rPr>
          <w:b/>
          <w:color w:val="A6A6A6" w:themeColor="background1" w:themeShade="A6"/>
          <w:sz w:val="24"/>
        </w:rPr>
      </w:pPr>
      <w:r w:rsidRPr="00F625C5">
        <w:rPr>
          <w:b/>
          <w:color w:val="A6A6A6" w:themeColor="background1" w:themeShade="A6"/>
          <w:sz w:val="24"/>
        </w:rPr>
        <w:drawing>
          <wp:inline distT="0" distB="0" distL="0" distR="0">
            <wp:extent cx="5612130" cy="478790"/>
            <wp:effectExtent l="19050" t="0" r="762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9403" cy="511712"/>
                      <a:chOff x="0" y="0"/>
                      <a:chExt cx="5999403" cy="511712"/>
                    </a:xfrm>
                  </a:grpSpPr>
                  <a:sp>
                    <a:nvSpPr>
                      <a:cNvPr id="2" name="1 Rectángulo">
                        <a:extLst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id="{00000000-0008-0000-0200-000015000000}"/>
                          </a:ext>
                        </a:extLst>
                      </a:cNvPr>
                      <a:cNvSpPr/>
                    </a:nvSpPr>
                    <a:spPr>
                      <a:xfrm>
                        <a:off x="0" y="0"/>
                        <a:ext cx="5999403" cy="511712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noFill/>
                      </a:ln>
                    </a:spPr>
                    <a:txSp>
                      <a:txBody>
                        <a:bodyPr vertOverflow="clip" horz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MX" sz="1100" b="1" baseline="0"/>
                            <a:t>DIFUSIÓN A LA CIUDADANÍA DE LA LEY DE INGRESOS 2025</a:t>
                          </a:r>
                          <a:endParaRPr lang="es-MX" sz="1400" b="1" baseline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B46DD" w:rsidRDefault="008B46DD" w:rsidP="008B46DD">
      <w:pPr>
        <w:spacing w:after="0"/>
        <w:rPr>
          <w:b/>
          <w:color w:val="A6A6A6" w:themeColor="background1" w:themeShade="A6"/>
          <w:sz w:val="28"/>
        </w:rPr>
      </w:pPr>
    </w:p>
    <w:p w:rsidR="006F5FF0" w:rsidRPr="00245F55" w:rsidRDefault="00B26C4B" w:rsidP="008B46DD">
      <w:pPr>
        <w:spacing w:after="0"/>
        <w:rPr>
          <w:color w:val="A6A6A6" w:themeColor="background1" w:themeShade="A6"/>
          <w:sz w:val="20"/>
        </w:rPr>
      </w:pPr>
      <w:r w:rsidRPr="00245F55">
        <w:rPr>
          <w:b/>
          <w:color w:val="A6A6A6" w:themeColor="background1" w:themeShade="A6"/>
          <w:sz w:val="28"/>
        </w:rPr>
        <w:t>¿Qué es la Ley de Ingresos y cuál es su importancia?</w:t>
      </w:r>
    </w:p>
    <w:p w:rsidR="006F5FF0" w:rsidRPr="00B95177" w:rsidRDefault="006F5FF0" w:rsidP="008B46DD">
      <w:pPr>
        <w:spacing w:after="0" w:line="36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B95177">
        <w:rPr>
          <w:rFonts w:cs="Arial"/>
          <w:color w:val="222222"/>
          <w:sz w:val="20"/>
          <w:szCs w:val="20"/>
          <w:shd w:val="clear" w:color="auto" w:fill="FFFFFF"/>
        </w:rPr>
        <w:t xml:space="preserve">La Ley de Ingresos es el instrumento jurídico que establece </w:t>
      </w:r>
      <w:r w:rsidRPr="0018129F">
        <w:rPr>
          <w:rFonts w:cs="Arial"/>
          <w:color w:val="222222"/>
          <w:sz w:val="20"/>
          <w:szCs w:val="20"/>
          <w:shd w:val="clear" w:color="auto" w:fill="FFFFFF"/>
        </w:rPr>
        <w:t>anualmente los</w:t>
      </w:r>
      <w:r w:rsidRPr="0018129F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 </w:t>
      </w:r>
      <w:r w:rsidRPr="0018129F">
        <w:rPr>
          <w:rFonts w:cs="Arial"/>
          <w:bCs/>
          <w:color w:val="222222"/>
          <w:sz w:val="20"/>
          <w:szCs w:val="20"/>
          <w:shd w:val="clear" w:color="auto" w:fill="FFFFFF"/>
        </w:rPr>
        <w:t>ingresos</w:t>
      </w:r>
      <w:r w:rsidRPr="0018129F"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 </w:t>
      </w:r>
      <w:r w:rsidRPr="0018129F">
        <w:rPr>
          <w:rFonts w:cs="Arial"/>
          <w:color w:val="222222"/>
          <w:sz w:val="20"/>
          <w:szCs w:val="20"/>
          <w:shd w:val="clear" w:color="auto" w:fill="FFFFFF"/>
        </w:rPr>
        <w:t>que</w:t>
      </w:r>
      <w:r w:rsidRPr="00B95177">
        <w:rPr>
          <w:rFonts w:cs="Arial"/>
          <w:color w:val="222222"/>
          <w:sz w:val="20"/>
          <w:szCs w:val="20"/>
          <w:shd w:val="clear" w:color="auto" w:fill="FFFFFF"/>
        </w:rPr>
        <w:t xml:space="preserve"> el Gobierno Municipal </w:t>
      </w:r>
      <w:r w:rsidRPr="00B95177">
        <w:rPr>
          <w:rFonts w:cs="Frutiger 55 Roman"/>
          <w:color w:val="000000"/>
          <w:sz w:val="20"/>
          <w:szCs w:val="20"/>
        </w:rPr>
        <w:t xml:space="preserve">percibirá </w:t>
      </w:r>
      <w:r w:rsidR="00396410" w:rsidRPr="00B95177">
        <w:rPr>
          <w:rFonts w:cs="Frutiger 55 Roman"/>
          <w:color w:val="000000"/>
          <w:sz w:val="20"/>
          <w:szCs w:val="20"/>
        </w:rPr>
        <w:t>durante un ejercicio fiscal.</w:t>
      </w:r>
    </w:p>
    <w:p w:rsidR="00396410" w:rsidRDefault="00396410" w:rsidP="008B46DD">
      <w:pPr>
        <w:spacing w:after="0" w:line="36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B95177">
        <w:rPr>
          <w:rFonts w:cs="Arial"/>
          <w:color w:val="222222"/>
          <w:sz w:val="20"/>
          <w:szCs w:val="20"/>
          <w:shd w:val="clear" w:color="auto" w:fill="FFFFFF"/>
        </w:rPr>
        <w:t>Mediante la Ley de Ingresos, se pueden captar los recursos financieros que permitan cubrir los gastos del Municipio y con ello satisfacer y cumplir con los objetivos planteados dentro del Plan Municipal de Desarrollo</w:t>
      </w:r>
      <w:r w:rsidR="00415DBF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8B46DD" w:rsidRPr="00B95177" w:rsidRDefault="008B46DD" w:rsidP="008B46DD">
      <w:pPr>
        <w:spacing w:after="0" w:line="36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</w:p>
    <w:p w:rsidR="00396410" w:rsidRPr="00245F55" w:rsidRDefault="00B26C4B" w:rsidP="008B46DD">
      <w:pPr>
        <w:spacing w:after="0"/>
        <w:rPr>
          <w:b/>
          <w:color w:val="A6A6A6" w:themeColor="background1" w:themeShade="A6"/>
          <w:sz w:val="28"/>
        </w:rPr>
      </w:pPr>
      <w:r w:rsidRPr="00245F55">
        <w:rPr>
          <w:b/>
          <w:color w:val="A6A6A6" w:themeColor="background1" w:themeShade="A6"/>
          <w:sz w:val="28"/>
        </w:rPr>
        <w:t>¿De dónde obtienen los gobiernos sus ingresos?</w:t>
      </w:r>
    </w:p>
    <w:p w:rsidR="00944C2A" w:rsidRDefault="00396410" w:rsidP="008B46DD">
      <w:pPr>
        <w:spacing w:after="0" w:line="360" w:lineRule="auto"/>
        <w:jc w:val="both"/>
        <w:rPr>
          <w:rFonts w:cs="Frutiger 55 Roman"/>
          <w:color w:val="000000"/>
          <w:sz w:val="20"/>
          <w:szCs w:val="20"/>
        </w:rPr>
      </w:pPr>
      <w:r w:rsidRPr="00B95177">
        <w:rPr>
          <w:rFonts w:cs="Arial"/>
          <w:color w:val="222222"/>
          <w:sz w:val="20"/>
          <w:szCs w:val="20"/>
          <w:shd w:val="clear" w:color="auto" w:fill="FFFFFF"/>
        </w:rPr>
        <w:t xml:space="preserve">El Municipio obtiene sus ingresos </w:t>
      </w:r>
      <w:r w:rsidRPr="00B95177">
        <w:rPr>
          <w:rFonts w:cs="Frutiger 55 Roman"/>
          <w:color w:val="000000"/>
          <w:sz w:val="20"/>
          <w:szCs w:val="20"/>
        </w:rPr>
        <w:t>por concepto de impuestos, contribuciones de mejoras, derechos, productos</w:t>
      </w:r>
      <w:r w:rsidR="0018129F">
        <w:rPr>
          <w:rFonts w:cs="Frutiger 55 Roman"/>
          <w:color w:val="000000"/>
          <w:sz w:val="20"/>
          <w:szCs w:val="20"/>
        </w:rPr>
        <w:t>, aprovechamientos, ingresos por la venta de bienes, prestación de servicios y otros</w:t>
      </w:r>
      <w:r w:rsidRPr="00B95177">
        <w:rPr>
          <w:rFonts w:cs="Frutiger 55 Roman"/>
          <w:color w:val="000000"/>
          <w:sz w:val="20"/>
          <w:szCs w:val="20"/>
        </w:rPr>
        <w:t xml:space="preserve"> conforme a las tasas, cuotas y tarifas que en dicha Ley se establecen; asimismo, por concepto de participaciones, aportaciones</w:t>
      </w:r>
      <w:r w:rsidR="0018129F">
        <w:rPr>
          <w:rFonts w:cs="Frutiger 55 Roman"/>
          <w:color w:val="000000"/>
          <w:sz w:val="20"/>
          <w:szCs w:val="20"/>
        </w:rPr>
        <w:t>,</w:t>
      </w:r>
      <w:r w:rsidRPr="00B95177">
        <w:rPr>
          <w:rFonts w:cs="Frutiger 55 Roman"/>
          <w:color w:val="000000"/>
          <w:sz w:val="20"/>
          <w:szCs w:val="20"/>
        </w:rPr>
        <w:t xml:space="preserve"> convenios</w:t>
      </w:r>
      <w:r w:rsidR="0018129F">
        <w:rPr>
          <w:rFonts w:cs="Frutiger 55 Roman"/>
          <w:color w:val="000000"/>
          <w:sz w:val="20"/>
          <w:szCs w:val="20"/>
        </w:rPr>
        <w:t>, incentivos, fondos distintos de aportaciones, transferencias</w:t>
      </w:r>
      <w:r w:rsidR="00B26413">
        <w:rPr>
          <w:rFonts w:cs="Frutiger 55 Roman"/>
          <w:color w:val="000000"/>
          <w:sz w:val="20"/>
          <w:szCs w:val="20"/>
        </w:rPr>
        <w:t xml:space="preserve"> </w:t>
      </w:r>
      <w:r w:rsidR="0018129F" w:rsidRPr="00B95177">
        <w:rPr>
          <w:rFonts w:cs="Frutiger 55 Roman"/>
          <w:color w:val="000000"/>
          <w:sz w:val="20"/>
          <w:szCs w:val="20"/>
        </w:rPr>
        <w:t>de acuerdo a las reglamentaciones correspondientes</w:t>
      </w:r>
      <w:r w:rsidR="0018129F">
        <w:rPr>
          <w:rFonts w:cs="Frutiger 55 Roman"/>
          <w:color w:val="000000"/>
          <w:sz w:val="20"/>
          <w:szCs w:val="20"/>
        </w:rPr>
        <w:t xml:space="preserve">  e ingresos derivados de financiamientos.</w:t>
      </w:r>
    </w:p>
    <w:p w:rsidR="009D46B6" w:rsidRDefault="009D46B6" w:rsidP="008B46DD">
      <w:pPr>
        <w:spacing w:after="0" w:line="360" w:lineRule="auto"/>
        <w:jc w:val="both"/>
        <w:rPr>
          <w:rFonts w:cs="Frutiger 55 Roman"/>
          <w:color w:val="000000"/>
          <w:sz w:val="20"/>
          <w:szCs w:val="20"/>
        </w:rPr>
      </w:pPr>
    </w:p>
    <w:tbl>
      <w:tblPr>
        <w:tblW w:w="6286" w:type="dxa"/>
        <w:jc w:val="center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/>
      </w:tblPr>
      <w:tblGrid>
        <w:gridCol w:w="4844"/>
        <w:gridCol w:w="1442"/>
      </w:tblGrid>
      <w:tr w:rsidR="009D46B6" w:rsidRPr="003F6142" w:rsidTr="00F70051">
        <w:trPr>
          <w:trHeight w:val="300"/>
          <w:jc w:val="center"/>
        </w:trPr>
        <w:tc>
          <w:tcPr>
            <w:tcW w:w="4930" w:type="dxa"/>
            <w:tcBorders>
              <w:bottom w:val="single" w:sz="4" w:space="0" w:color="808080"/>
            </w:tcBorders>
            <w:shd w:val="clear" w:color="auto" w:fill="E36C0A" w:themeFill="accent6" w:themeFillShade="BF"/>
            <w:vAlign w:val="center"/>
            <w:hideMark/>
          </w:tcPr>
          <w:p w:rsidR="003F6142" w:rsidRPr="00F70051" w:rsidRDefault="003F6142" w:rsidP="003F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ORIGEN DE LOS INGRESOS</w:t>
            </w:r>
          </w:p>
        </w:tc>
        <w:tc>
          <w:tcPr>
            <w:tcW w:w="1356" w:type="dxa"/>
            <w:tcBorders>
              <w:bottom w:val="single" w:sz="4" w:space="0" w:color="808080"/>
            </w:tcBorders>
            <w:shd w:val="clear" w:color="auto" w:fill="E36C0A" w:themeFill="accent6" w:themeFillShade="BF"/>
            <w:noWrap/>
            <w:vAlign w:val="center"/>
            <w:hideMark/>
          </w:tcPr>
          <w:p w:rsidR="003F6142" w:rsidRPr="00F70051" w:rsidRDefault="003F6142" w:rsidP="003F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IMPORTE</w:t>
            </w:r>
            <w:r w:rsidR="007917D2"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2023</w:t>
            </w:r>
          </w:p>
        </w:tc>
      </w:tr>
      <w:tr w:rsidR="003F6142" w:rsidRPr="003F6142" w:rsidTr="00F70051">
        <w:trPr>
          <w:trHeight w:val="300"/>
          <w:jc w:val="center"/>
        </w:trPr>
        <w:tc>
          <w:tcPr>
            <w:tcW w:w="4930" w:type="dxa"/>
            <w:shd w:val="clear" w:color="auto" w:fill="17365D" w:themeFill="text2" w:themeFillShade="BF"/>
            <w:vAlign w:val="center"/>
          </w:tcPr>
          <w:p w:rsidR="003F6142" w:rsidRPr="00F70051" w:rsidRDefault="003F6142" w:rsidP="00245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1356" w:type="dxa"/>
            <w:shd w:val="clear" w:color="auto" w:fill="17365D" w:themeFill="text2" w:themeFillShade="BF"/>
            <w:noWrap/>
            <w:vAlign w:val="center"/>
          </w:tcPr>
          <w:p w:rsidR="003F6142" w:rsidRPr="00F70051" w:rsidRDefault="009D46B6" w:rsidP="00F70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$</w:t>
            </w:r>
            <w:r w:rsidR="002A303A" w:rsidRP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F7005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2,491,139,903.44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IMPUESTOS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F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</w:t>
            </w:r>
            <w:r w:rsidR="00F700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3,098,766,955.24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CUOTAS Y APORTACIONES DE SEGURIDAD SOCIAL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$0</w:t>
            </w:r>
            <w:r w:rsidR="00B030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CONTRIBUCIONES DE MEJORAS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$0</w:t>
            </w:r>
            <w:r w:rsidR="00B030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F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$1,</w:t>
            </w:r>
            <w:r w:rsidR="00F700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614,044,241.48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PRODUCTOS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F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</w:t>
            </w:r>
            <w:r w:rsidR="002A30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700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78,061,060.68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APROVECHAMIENTOS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F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</w:t>
            </w:r>
            <w:r w:rsidR="00F700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112,985,915.93</w:t>
            </w:r>
          </w:p>
        </w:tc>
      </w:tr>
      <w:tr w:rsidR="003F6142" w:rsidRPr="003F6142" w:rsidTr="00F625C5">
        <w:trPr>
          <w:trHeight w:val="499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INGRESOS POR VENTA DE BIENES, PRESTACIÓN DE SERVICIOS Y OTROS INGRESOS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$0</w:t>
            </w:r>
            <w:r w:rsidR="00B030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F6142" w:rsidRPr="003F6142" w:rsidTr="00F625C5">
        <w:trPr>
          <w:trHeight w:val="702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F70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</w:t>
            </w:r>
            <w:r w:rsidR="004C77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7,</w:t>
            </w:r>
            <w:r w:rsidR="00F700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487,281,730.10</w:t>
            </w:r>
          </w:p>
        </w:tc>
      </w:tr>
      <w:tr w:rsidR="003F6142" w:rsidRPr="003F6142" w:rsidTr="00F625C5">
        <w:trPr>
          <w:trHeight w:val="6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TRANSFERENCIAS, ASIGNACIONES, SUBSIDIOS Y SUBVENCIONES, PENSIONES Y JUBILACIONES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$0</w:t>
            </w:r>
            <w:r w:rsidR="00B030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  <w:tr w:rsidR="003F6142" w:rsidRPr="003F6142" w:rsidTr="00F625C5">
        <w:trPr>
          <w:trHeight w:val="300"/>
          <w:jc w:val="center"/>
        </w:trPr>
        <w:tc>
          <w:tcPr>
            <w:tcW w:w="4930" w:type="dxa"/>
            <w:shd w:val="clear" w:color="auto" w:fill="F2F2F2" w:themeFill="background1" w:themeFillShade="F2"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INGRESOS DERIVADOS DE FINANCIAMIENTOS</w:t>
            </w:r>
          </w:p>
        </w:tc>
        <w:tc>
          <w:tcPr>
            <w:tcW w:w="1356" w:type="dxa"/>
            <w:shd w:val="clear" w:color="auto" w:fill="F2F2F2" w:themeFill="background1" w:themeFillShade="F2"/>
            <w:noWrap/>
            <w:vAlign w:val="center"/>
            <w:hideMark/>
          </w:tcPr>
          <w:p w:rsidR="003F6142" w:rsidRPr="003F6142" w:rsidRDefault="003F6142" w:rsidP="003F6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61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$0</w:t>
            </w:r>
            <w:r w:rsidR="00B030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</w:tbl>
    <w:p w:rsidR="00396410" w:rsidRPr="00B95177" w:rsidRDefault="00396410" w:rsidP="003F6142">
      <w:pPr>
        <w:spacing w:line="360" w:lineRule="auto"/>
        <w:jc w:val="both"/>
        <w:rPr>
          <w:rFonts w:cs="Frutiger 55 Roman"/>
          <w:color w:val="000000"/>
          <w:sz w:val="20"/>
          <w:szCs w:val="20"/>
        </w:rPr>
      </w:pPr>
    </w:p>
    <w:sectPr w:rsidR="00396410" w:rsidRPr="00B95177" w:rsidSect="00797B0E">
      <w:footerReference w:type="default" r:id="rId8"/>
      <w:pgSz w:w="12240" w:h="15840"/>
      <w:pgMar w:top="1134" w:right="1701" w:bottom="1134" w:left="1701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F5" w:rsidRDefault="008476F5" w:rsidP="006951E2">
      <w:pPr>
        <w:spacing w:after="0" w:line="240" w:lineRule="auto"/>
      </w:pPr>
      <w:r>
        <w:separator/>
      </w:r>
    </w:p>
  </w:endnote>
  <w:endnote w:type="continuationSeparator" w:id="0">
    <w:p w:rsidR="008476F5" w:rsidRDefault="008476F5" w:rsidP="0069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C5" w:rsidRPr="00F625C5" w:rsidRDefault="00F625C5" w:rsidP="00F625C5">
    <w:pPr>
      <w:spacing w:after="0" w:line="264" w:lineRule="auto"/>
      <w:jc w:val="right"/>
      <w:rPr>
        <w:b/>
        <w:color w:val="000000" w:themeColor="text1"/>
        <w:sz w:val="16"/>
        <w:szCs w:val="16"/>
      </w:rPr>
    </w:pPr>
    <w:r w:rsidRPr="00F625C5">
      <w:rPr>
        <w:b/>
        <w:color w:val="000000" w:themeColor="text1"/>
        <w:sz w:val="16"/>
        <w:szCs w:val="16"/>
      </w:rPr>
      <w:t>NORMA para la difusión a la ciudadanía de la Ley de Ingresos (NOR-01-14-003)</w:t>
    </w:r>
  </w:p>
  <w:p w:rsidR="00141886" w:rsidRPr="00F625C5" w:rsidRDefault="00141886" w:rsidP="00F625C5">
    <w:pPr>
      <w:spacing w:after="0" w:line="264" w:lineRule="auto"/>
      <w:jc w:val="right"/>
      <w:rPr>
        <w:sz w:val="16"/>
        <w:szCs w:val="16"/>
      </w:rPr>
    </w:pPr>
    <w:r w:rsidRPr="00F625C5">
      <w:rPr>
        <w:sz w:val="16"/>
        <w:szCs w:val="16"/>
      </w:rPr>
      <w:t>En apego al artículo 62 de la Ley General de Contabilidad Gubernamental.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F5" w:rsidRDefault="008476F5" w:rsidP="006951E2">
      <w:pPr>
        <w:spacing w:after="0" w:line="240" w:lineRule="auto"/>
      </w:pPr>
      <w:r>
        <w:separator/>
      </w:r>
    </w:p>
  </w:footnote>
  <w:footnote w:type="continuationSeparator" w:id="0">
    <w:p w:rsidR="008476F5" w:rsidRDefault="008476F5" w:rsidP="0069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6C4B"/>
    <w:rsid w:val="00026A5F"/>
    <w:rsid w:val="000C047A"/>
    <w:rsid w:val="00141886"/>
    <w:rsid w:val="00156994"/>
    <w:rsid w:val="00156D95"/>
    <w:rsid w:val="0018129F"/>
    <w:rsid w:val="001C71AB"/>
    <w:rsid w:val="001E0302"/>
    <w:rsid w:val="00227F38"/>
    <w:rsid w:val="00245F55"/>
    <w:rsid w:val="00297320"/>
    <w:rsid w:val="002A303A"/>
    <w:rsid w:val="002E7497"/>
    <w:rsid w:val="002F7C62"/>
    <w:rsid w:val="00396410"/>
    <w:rsid w:val="003F6142"/>
    <w:rsid w:val="00415DBF"/>
    <w:rsid w:val="00432A4B"/>
    <w:rsid w:val="00435057"/>
    <w:rsid w:val="00436E24"/>
    <w:rsid w:val="0044466E"/>
    <w:rsid w:val="00484F06"/>
    <w:rsid w:val="004C77F4"/>
    <w:rsid w:val="005560F4"/>
    <w:rsid w:val="00624634"/>
    <w:rsid w:val="0066143E"/>
    <w:rsid w:val="006925BB"/>
    <w:rsid w:val="00694FCC"/>
    <w:rsid w:val="006951E2"/>
    <w:rsid w:val="006F5FF0"/>
    <w:rsid w:val="00767789"/>
    <w:rsid w:val="00767CE3"/>
    <w:rsid w:val="007917D2"/>
    <w:rsid w:val="00797B0E"/>
    <w:rsid w:val="007B705C"/>
    <w:rsid w:val="00813F07"/>
    <w:rsid w:val="008476F5"/>
    <w:rsid w:val="00864A34"/>
    <w:rsid w:val="00892050"/>
    <w:rsid w:val="0089574C"/>
    <w:rsid w:val="008B46DD"/>
    <w:rsid w:val="008E4151"/>
    <w:rsid w:val="008E5C2C"/>
    <w:rsid w:val="00944C2A"/>
    <w:rsid w:val="009A0FC8"/>
    <w:rsid w:val="009B0EF2"/>
    <w:rsid w:val="009C5DF9"/>
    <w:rsid w:val="009D46B6"/>
    <w:rsid w:val="00A70159"/>
    <w:rsid w:val="00A743C9"/>
    <w:rsid w:val="00AD5D2C"/>
    <w:rsid w:val="00B03068"/>
    <w:rsid w:val="00B031EB"/>
    <w:rsid w:val="00B10413"/>
    <w:rsid w:val="00B26413"/>
    <w:rsid w:val="00B26739"/>
    <w:rsid w:val="00B26C4B"/>
    <w:rsid w:val="00B95177"/>
    <w:rsid w:val="00C27CB7"/>
    <w:rsid w:val="00C52DF6"/>
    <w:rsid w:val="00C67B3C"/>
    <w:rsid w:val="00CB4C0B"/>
    <w:rsid w:val="00CE4698"/>
    <w:rsid w:val="00CF7E51"/>
    <w:rsid w:val="00D82B2A"/>
    <w:rsid w:val="00E332B5"/>
    <w:rsid w:val="00E420DB"/>
    <w:rsid w:val="00E63E42"/>
    <w:rsid w:val="00EF57B7"/>
    <w:rsid w:val="00F0078B"/>
    <w:rsid w:val="00F625C5"/>
    <w:rsid w:val="00F70051"/>
    <w:rsid w:val="00FD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F5FF0"/>
  </w:style>
  <w:style w:type="paragraph" w:styleId="Encabezado">
    <w:name w:val="header"/>
    <w:basedOn w:val="Normal"/>
    <w:link w:val="EncabezadoCar"/>
    <w:uiPriority w:val="99"/>
    <w:unhideWhenUsed/>
    <w:rsid w:val="0069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1E2"/>
  </w:style>
  <w:style w:type="paragraph" w:styleId="Piedepgina">
    <w:name w:val="footer"/>
    <w:basedOn w:val="Normal"/>
    <w:link w:val="PiedepginaCar"/>
    <w:uiPriority w:val="99"/>
    <w:unhideWhenUsed/>
    <w:rsid w:val="0069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F5FF0"/>
  </w:style>
  <w:style w:type="paragraph" w:styleId="Encabezado">
    <w:name w:val="header"/>
    <w:basedOn w:val="Normal"/>
    <w:link w:val="EncabezadoCar"/>
    <w:uiPriority w:val="99"/>
    <w:unhideWhenUsed/>
    <w:rsid w:val="0069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1E2"/>
  </w:style>
  <w:style w:type="paragraph" w:styleId="Piedepgina">
    <w:name w:val="footer"/>
    <w:basedOn w:val="Normal"/>
    <w:link w:val="PiedepginaCar"/>
    <w:uiPriority w:val="99"/>
    <w:unhideWhenUsed/>
    <w:rsid w:val="0069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tesomovil2</dc:creator>
  <cp:lastModifiedBy>cvguzman</cp:lastModifiedBy>
  <cp:revision>8</cp:revision>
  <cp:lastPrinted>2024-01-17T19:27:00Z</cp:lastPrinted>
  <dcterms:created xsi:type="dcterms:W3CDTF">2024-01-17T19:09:00Z</dcterms:created>
  <dcterms:modified xsi:type="dcterms:W3CDTF">2024-12-31T19:41:00Z</dcterms:modified>
</cp:coreProperties>
</file>