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F8DE0" w14:textId="797B7402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4A46679F" w:rsidR="00715018" w:rsidRDefault="00893158" w:rsidP="00C66115">
            <w:r>
              <w:t>ALEJAN</w:t>
            </w:r>
            <w:r w:rsidR="00D669D2">
              <w:t>DRA GUADALUPE HERNÁNDEZ SANTILLÁ</w:t>
            </w:r>
            <w:r>
              <w:t>N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0651CD12" w:rsidR="00715018" w:rsidRDefault="00356E9A" w:rsidP="00C66115">
            <w:r w:rsidRPr="00356E9A">
              <w:t>53571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64CFE742" w:rsidR="00715018" w:rsidRDefault="00893158" w:rsidP="00C66115">
            <w:r>
              <w:t xml:space="preserve"> MAESTRÍA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16D3F943" w:rsidR="00715018" w:rsidRPr="00793FB0" w:rsidRDefault="00893158" w:rsidP="00356E9A">
            <w:pPr>
              <w:jc w:val="both"/>
            </w:pPr>
            <w:r>
              <w:t>TRANSPARENCIA Y</w:t>
            </w:r>
            <w:r w:rsidR="00356E9A">
              <w:t xml:space="preserve"> PROTECCIÓN DE DATOS PERSONALES, UNIVERSIDAD DE GUADALAJARA.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D669D2">
            <w:pPr>
              <w:jc w:val="both"/>
            </w:pPr>
          </w:p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3B20DA47" w14:textId="3F8B81CB" w:rsidR="00715018" w:rsidRDefault="00356E9A" w:rsidP="00D669D2">
            <w:pPr>
              <w:jc w:val="both"/>
            </w:pPr>
            <w:r>
              <w:t>2022.- INSTITUTO DE PLANEACIÓN Y GESTIÓN DEL DESARROLLO DEL ÁREA METROPOLITANA DE GUADALAJARA, ENCARGADA DEL DESPACHO DE LA DIRECCIÓN GENERAL.</w:t>
            </w:r>
            <w:r w:rsidR="00893158">
              <w:t xml:space="preserve"> 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7777777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79A80C2" w14:textId="6426EE55" w:rsidR="00715018" w:rsidRDefault="00356E9A" w:rsidP="00D669D2">
            <w:pPr>
              <w:jc w:val="both"/>
            </w:pPr>
            <w:r>
              <w:t xml:space="preserve">2018.- INSTITUTO DE PLANEACIÓN Y GESTIÓN DEL DESARROLLO DEL ÁREA METROPOLITANA DE GUADALAJARA, </w:t>
            </w:r>
            <w:r w:rsidR="00893158">
              <w:t>TITULAR DE LA UNIDAD JURÍDICA Y TITULA</w:t>
            </w:r>
            <w:r>
              <w:t>R DE LA UNIDAD DE TRANSPARENCIA.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D669D2">
            <w:pPr>
              <w:spacing w:line="360" w:lineRule="exact"/>
              <w:ind w:left="131"/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D669D2">
            <w:pPr>
              <w:spacing w:line="340" w:lineRule="exact"/>
              <w:ind w:left="56"/>
              <w:jc w:val="both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D669D2">
            <w:pPr>
              <w:jc w:val="both"/>
            </w:pPr>
          </w:p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B34BB73" w14:textId="4958E9A4" w:rsidR="00715018" w:rsidRDefault="00356E9A" w:rsidP="00D669D2">
            <w:pPr>
              <w:jc w:val="both"/>
            </w:pPr>
            <w:r>
              <w:t>2016.- INSTITUTO DE PLANEACIÓN Y GESTIÓN DEL DESARROLLO DEL ÁREA METROPOLITANA DE G</w:t>
            </w:r>
            <w:bookmarkStart w:id="0" w:name="_GoBack"/>
            <w:bookmarkEnd w:id="0"/>
            <w:r>
              <w:t xml:space="preserve">UADALAJARA, </w:t>
            </w:r>
            <w:r w:rsidR="00893158">
              <w:t>COORDINADOR JURÍDI</w:t>
            </w:r>
            <w:r>
              <w:t>C</w:t>
            </w:r>
            <w:r w:rsidR="00893158">
              <w:t>O</w:t>
            </w:r>
            <w:r>
              <w:t>.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D127B" w14:textId="77777777" w:rsidR="005105DB" w:rsidRDefault="005105DB" w:rsidP="00954BBE">
      <w:r>
        <w:separator/>
      </w:r>
    </w:p>
  </w:endnote>
  <w:endnote w:type="continuationSeparator" w:id="0">
    <w:p w14:paraId="3DCF5599" w14:textId="77777777" w:rsidR="005105DB" w:rsidRDefault="005105DB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ACADE" w14:textId="77777777" w:rsidR="005105DB" w:rsidRDefault="005105DB" w:rsidP="00954BBE">
      <w:r>
        <w:separator/>
      </w:r>
    </w:p>
  </w:footnote>
  <w:footnote w:type="continuationSeparator" w:id="0">
    <w:p w14:paraId="5A378BD5" w14:textId="77777777" w:rsidR="005105DB" w:rsidRDefault="005105DB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B24C6" w14:textId="25D67DF3" w:rsidR="00954BBE" w:rsidRDefault="005105DB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88DEB" w14:textId="473798C4" w:rsidR="00954BBE" w:rsidRDefault="005105DB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ACD91" w14:textId="05597DE2" w:rsidR="00954BBE" w:rsidRDefault="005105DB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BE"/>
    <w:rsid w:val="00007AC0"/>
    <w:rsid w:val="00055091"/>
    <w:rsid w:val="001B6B00"/>
    <w:rsid w:val="00356E9A"/>
    <w:rsid w:val="00387505"/>
    <w:rsid w:val="005105DB"/>
    <w:rsid w:val="006D2EED"/>
    <w:rsid w:val="00715018"/>
    <w:rsid w:val="007674C7"/>
    <w:rsid w:val="00803888"/>
    <w:rsid w:val="00893158"/>
    <w:rsid w:val="00954BBE"/>
    <w:rsid w:val="009B2388"/>
    <w:rsid w:val="00B72F52"/>
    <w:rsid w:val="00BF275D"/>
    <w:rsid w:val="00D669D2"/>
    <w:rsid w:val="00EA7EB2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Anguiano Ruiz Geronimo</cp:lastModifiedBy>
  <cp:revision>4</cp:revision>
  <cp:lastPrinted>2024-10-10T14:48:00Z</cp:lastPrinted>
  <dcterms:created xsi:type="dcterms:W3CDTF">2024-12-12T19:05:00Z</dcterms:created>
  <dcterms:modified xsi:type="dcterms:W3CDTF">2024-12-12T19:54:00Z</dcterms:modified>
</cp:coreProperties>
</file>