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5E6" w:rsidRDefault="00E025E6">
      <w:pPr>
        <w:widowControl w:val="0"/>
        <w:pBdr>
          <w:top w:val="nil"/>
          <w:left w:val="nil"/>
          <w:bottom w:val="nil"/>
          <w:right w:val="nil"/>
          <w:between w:val="nil"/>
        </w:pBdr>
        <w:spacing w:after="0"/>
        <w:rPr>
          <w:rFonts w:ascii="Arial" w:eastAsia="Arial" w:hAnsi="Arial" w:cs="Arial"/>
          <w:color w:val="000000"/>
        </w:rPr>
      </w:pPr>
      <w:bookmarkStart w:id="0" w:name="_GoBack"/>
      <w:bookmarkEnd w:id="0"/>
    </w:p>
    <w:tbl>
      <w:tblPr>
        <w:tblStyle w:val="a"/>
        <w:tblW w:w="8880" w:type="dxa"/>
        <w:tblInd w:w="905" w:type="dxa"/>
        <w:tblLayout w:type="fixed"/>
        <w:tblLook w:val="0400" w:firstRow="0" w:lastRow="0" w:firstColumn="0" w:lastColumn="0" w:noHBand="0" w:noVBand="1"/>
      </w:tblPr>
      <w:tblGrid>
        <w:gridCol w:w="4365"/>
        <w:gridCol w:w="4515"/>
      </w:tblGrid>
      <w:tr w:rsidR="00E025E6">
        <w:tc>
          <w:tcPr>
            <w:tcW w:w="8880" w:type="dxa"/>
            <w:gridSpan w:val="2"/>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bCs/>
                <w:color w:val="000000"/>
                <w:sz w:val="24"/>
                <w:szCs w:val="24"/>
              </w:rPr>
              <w:br/>
              <w:t>MUNICIPIO DE GUADALAJARA</w:t>
            </w:r>
            <w:r>
              <w:rPr>
                <w:rFonts w:ascii="Arial" w:eastAsia="Arial" w:hAnsi="Arial" w:cs="Arial"/>
                <w:b/>
                <w:bCs/>
                <w:color w:val="000000"/>
                <w:sz w:val="24"/>
                <w:szCs w:val="24"/>
              </w:rPr>
              <w:br/>
              <w:t>COORDINACIÓN GENERAL DE COMBATE A LA DESIGUALDAD</w:t>
            </w:r>
            <w:r>
              <w:rPr>
                <w:rFonts w:ascii="Arial" w:eastAsia="Arial" w:hAnsi="Arial" w:cs="Arial"/>
                <w:b/>
                <w:bCs/>
                <w:color w:val="000000"/>
                <w:sz w:val="24"/>
                <w:szCs w:val="24"/>
              </w:rPr>
              <w:br/>
              <w:t>PROGRAMA “GUADALAJARA CUIDA A LAS MUJERES”</w:t>
            </w:r>
          </w:p>
        </w:tc>
      </w:tr>
      <w:tr w:rsidR="00E025E6">
        <w:tc>
          <w:tcPr>
            <w:tcW w:w="4365" w:type="dxa"/>
            <w:tcBorders>
              <w:left w:val="single" w:sz="4" w:space="0" w:color="000000"/>
              <w:bottom w:val="single" w:sz="4" w:space="0" w:color="000000"/>
            </w:tcBorders>
          </w:tcPr>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PRIMERA SESIÓN EXTRAORDINARIA</w:t>
            </w:r>
            <w:r>
              <w:rPr>
                <w:rFonts w:ascii="Arial" w:eastAsia="Arial" w:hAnsi="Arial" w:cs="Arial"/>
                <w:b/>
                <w:bCs/>
                <w:sz w:val="24"/>
                <w:szCs w:val="24"/>
              </w:rPr>
              <w:t xml:space="preserve"> </w:t>
            </w:r>
            <w:r>
              <w:rPr>
                <w:rFonts w:ascii="Arial" w:eastAsia="Arial" w:hAnsi="Arial" w:cs="Arial"/>
                <w:b/>
                <w:bCs/>
                <w:color w:val="000000"/>
                <w:sz w:val="24"/>
                <w:szCs w:val="24"/>
              </w:rPr>
              <w:t>DE COMITÉ DICTAMINADOR</w:t>
            </w:r>
          </w:p>
        </w:tc>
        <w:tc>
          <w:tcPr>
            <w:tcW w:w="4515" w:type="dxa"/>
            <w:tcBorders>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bCs/>
                <w:color w:val="000000"/>
                <w:sz w:val="24"/>
                <w:szCs w:val="24"/>
              </w:rPr>
              <w:t xml:space="preserve">ACTA: </w:t>
            </w:r>
            <w:r>
              <w:rPr>
                <w:rFonts w:ascii="Arial" w:eastAsia="Arial" w:hAnsi="Arial" w:cs="Arial"/>
                <w:b/>
                <w:bCs/>
                <w:sz w:val="24"/>
                <w:szCs w:val="24"/>
              </w:rPr>
              <w:t>01 EXTRAORDINARIA</w:t>
            </w:r>
            <w:r>
              <w:rPr>
                <w:rFonts w:ascii="Arial" w:eastAsia="Arial" w:hAnsi="Arial" w:cs="Arial"/>
                <w:b/>
                <w:bCs/>
                <w:color w:val="000000"/>
                <w:sz w:val="24"/>
                <w:szCs w:val="24"/>
              </w:rPr>
              <w:t xml:space="preserve"> </w:t>
            </w:r>
          </w:p>
          <w:p w:rsidR="00E025E6" w:rsidRDefault="00157320">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bCs/>
                <w:color w:val="000000"/>
                <w:sz w:val="24"/>
                <w:szCs w:val="24"/>
              </w:rPr>
              <w:t>VERSIÓN ESTENOGRÁFICA</w:t>
            </w:r>
          </w:p>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 xml:space="preserve">FECHA: </w:t>
            </w:r>
            <w:r>
              <w:rPr>
                <w:rFonts w:ascii="Arial" w:eastAsia="Arial" w:hAnsi="Arial" w:cs="Arial"/>
                <w:b/>
                <w:bCs/>
                <w:sz w:val="24"/>
                <w:szCs w:val="24"/>
              </w:rPr>
              <w:t>27</w:t>
            </w:r>
            <w:r>
              <w:rPr>
                <w:rFonts w:ascii="Arial" w:eastAsia="Arial" w:hAnsi="Arial" w:cs="Arial"/>
                <w:b/>
                <w:bCs/>
                <w:color w:val="000000"/>
                <w:sz w:val="24"/>
                <w:szCs w:val="24"/>
              </w:rPr>
              <w:t xml:space="preserve"> DE ABRIL DEL 2026</w:t>
            </w:r>
          </w:p>
        </w:tc>
      </w:tr>
      <w:tr w:rsidR="00E025E6">
        <w:tc>
          <w:tcPr>
            <w:tcW w:w="8880" w:type="dxa"/>
            <w:gridSpan w:val="2"/>
            <w:tcBorders>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br/>
              <w:t>FUNDAMENTACIÓN JURÍDICA</w:t>
            </w:r>
          </w:p>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Con fundamento en el DECRETO D 36/02/25, que autoriza las REGLAS DE OPERACIÓN DEL PROGRAMA GUADALAJARA CUIDA A LAS MUJERES, aprobado en sesión ordinaria del Ayuntamiento de Guadalajara celebrada el día </w:t>
            </w:r>
            <w:r>
              <w:rPr>
                <w:rFonts w:ascii="Arial" w:eastAsia="Arial" w:hAnsi="Arial" w:cs="Arial"/>
                <w:b/>
                <w:bCs/>
                <w:color w:val="000000"/>
                <w:sz w:val="24"/>
                <w:szCs w:val="24"/>
              </w:rPr>
              <w:t>30 de enero de 2026</w:t>
            </w:r>
            <w:r>
              <w:rPr>
                <w:rFonts w:ascii="Arial" w:eastAsia="Arial" w:hAnsi="Arial" w:cs="Arial"/>
                <w:color w:val="000000"/>
                <w:sz w:val="24"/>
                <w:szCs w:val="24"/>
              </w:rPr>
              <w:t xml:space="preserve">, que tiene por objeto autorizar el </w:t>
            </w:r>
            <w:r>
              <w:rPr>
                <w:rFonts w:ascii="Arial" w:eastAsia="Arial" w:hAnsi="Arial" w:cs="Arial"/>
                <w:sz w:val="24"/>
                <w:szCs w:val="24"/>
              </w:rPr>
              <w:t>P</w:t>
            </w:r>
            <w:r>
              <w:rPr>
                <w:rFonts w:ascii="Arial" w:eastAsia="Arial" w:hAnsi="Arial" w:cs="Arial"/>
                <w:color w:val="000000"/>
                <w:sz w:val="24"/>
                <w:szCs w:val="24"/>
              </w:rPr>
              <w:t xml:space="preserve">rograma denominado </w:t>
            </w:r>
            <w:r>
              <w:rPr>
                <w:rFonts w:ascii="Arial" w:eastAsia="Arial" w:hAnsi="Arial" w:cs="Arial"/>
                <w:b/>
                <w:bCs/>
                <w:color w:val="000000"/>
                <w:sz w:val="24"/>
                <w:szCs w:val="24"/>
              </w:rPr>
              <w:t>“GUADALAJARA CUIDA A LAS MUJERES”</w:t>
            </w:r>
            <w:r>
              <w:rPr>
                <w:rFonts w:ascii="Arial" w:eastAsia="Arial" w:hAnsi="Arial" w:cs="Arial"/>
                <w:color w:val="000000"/>
                <w:sz w:val="24"/>
                <w:szCs w:val="24"/>
              </w:rPr>
              <w:t xml:space="preserve">; así como también </w:t>
            </w:r>
            <w:r>
              <w:rPr>
                <w:rFonts w:ascii="Arial" w:eastAsia="Arial" w:hAnsi="Arial" w:cs="Arial"/>
                <w:sz w:val="24"/>
                <w:szCs w:val="24"/>
              </w:rPr>
              <w:t>prevé</w:t>
            </w:r>
            <w:r>
              <w:rPr>
                <w:rFonts w:ascii="Arial" w:eastAsia="Arial" w:hAnsi="Arial" w:cs="Arial"/>
                <w:color w:val="000000"/>
                <w:sz w:val="24"/>
                <w:szCs w:val="24"/>
              </w:rPr>
              <w:t xml:space="preserve"> la creación del Comité Dictaminador y sus generalidades.</w:t>
            </w:r>
          </w:p>
        </w:tc>
      </w:tr>
    </w:tbl>
    <w:p w:rsidR="00E025E6" w:rsidRDefault="00E025E6">
      <w:pPr>
        <w:pBdr>
          <w:top w:val="nil"/>
          <w:left w:val="nil"/>
          <w:bottom w:val="nil"/>
          <w:right w:val="nil"/>
          <w:between w:val="nil"/>
        </w:pBdr>
        <w:spacing w:after="0" w:line="240" w:lineRule="auto"/>
        <w:jc w:val="both"/>
        <w:rPr>
          <w:rFonts w:ascii="Arial" w:eastAsia="Arial" w:hAnsi="Arial" w:cs="Arial"/>
          <w:color w:val="000000"/>
          <w:sz w:val="24"/>
          <w:szCs w:val="24"/>
        </w:rPr>
      </w:pPr>
    </w:p>
    <w:p w:rsidR="00E025E6" w:rsidRDefault="00E025E6">
      <w:pPr>
        <w:pBdr>
          <w:top w:val="nil"/>
          <w:left w:val="nil"/>
          <w:bottom w:val="nil"/>
          <w:right w:val="nil"/>
          <w:between w:val="nil"/>
        </w:pBdr>
        <w:spacing w:after="0" w:line="240" w:lineRule="auto"/>
        <w:jc w:val="both"/>
        <w:rPr>
          <w:rFonts w:ascii="Arial" w:eastAsia="Arial" w:hAnsi="Arial" w:cs="Arial"/>
          <w:color w:val="000000"/>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VERSIÓN ESTENOGRÁFICA</w:t>
      </w:r>
    </w:p>
    <w:p w:rsidR="00E025E6" w:rsidRDefault="00E025E6">
      <w:pPr>
        <w:pBdr>
          <w:top w:val="nil"/>
          <w:left w:val="nil"/>
          <w:bottom w:val="nil"/>
          <w:right w:val="nil"/>
          <w:between w:val="nil"/>
        </w:pBd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PRIMER PUNTO.- Lista de asistencia </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Buenas tardes, siend</w:t>
      </w:r>
      <w:r w:rsidR="006A0553">
        <w:rPr>
          <w:rFonts w:ascii="Arial" w:eastAsia="Arial" w:hAnsi="Arial" w:cs="Arial"/>
          <w:sz w:val="24"/>
          <w:szCs w:val="24"/>
        </w:rPr>
        <w:t xml:space="preserve">o las 12:00 con 20 minutos, </w:t>
      </w:r>
      <w:r>
        <w:rPr>
          <w:rFonts w:ascii="Arial" w:eastAsia="Arial" w:hAnsi="Arial" w:cs="Arial"/>
          <w:sz w:val="24"/>
          <w:szCs w:val="24"/>
        </w:rPr>
        <w:t xml:space="preserve">del día 27 de abril de 2026, damos inicio a esta Primera Sesión Extraordinaria del Comité Dictaminador del Programa Guadalajara Cuida a las Mujeres, ejercicio 2026.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Al desahogo del primer punt</w:t>
      </w:r>
      <w:r w:rsidR="006A0553">
        <w:rPr>
          <w:rFonts w:ascii="Arial" w:eastAsia="Arial" w:hAnsi="Arial" w:cs="Arial"/>
          <w:sz w:val="24"/>
          <w:szCs w:val="24"/>
        </w:rPr>
        <w:t>o del orden del día, le solicito</w:t>
      </w:r>
      <w:r>
        <w:rPr>
          <w:rFonts w:ascii="Arial" w:eastAsia="Arial" w:hAnsi="Arial" w:cs="Arial"/>
          <w:sz w:val="24"/>
          <w:szCs w:val="24"/>
        </w:rPr>
        <w:t xml:space="preserve"> a la Secretaría Técnica tome la lista de asistencia a efectos de la verificación de si existe Código Reglamentario para la sesión. </w:t>
      </w:r>
    </w:p>
    <w:p w:rsidR="00E025E6" w:rsidRDefault="00E025E6">
      <w:pPr>
        <w:spacing w:after="0" w:line="240" w:lineRule="auto"/>
        <w:jc w:val="both"/>
        <w:rPr>
          <w:rFonts w:ascii="Arial" w:eastAsia="Arial" w:hAnsi="Arial" w:cs="Arial"/>
          <w:sz w:val="24"/>
          <w:szCs w:val="24"/>
        </w:rPr>
      </w:pPr>
    </w:p>
    <w:p w:rsidR="00E025E6" w:rsidRDefault="00157320">
      <w:pPr>
        <w:spacing w:line="240" w:lineRule="auto"/>
        <w:jc w:val="both"/>
        <w:rPr>
          <w:rFonts w:ascii="Arial" w:eastAsia="Arial" w:hAnsi="Arial" w:cs="Arial"/>
          <w:color w:val="000000"/>
          <w:sz w:val="24"/>
          <w:szCs w:val="24"/>
        </w:rPr>
      </w:pPr>
      <w:r>
        <w:rPr>
          <w:rFonts w:ascii="Arial" w:eastAsia="Arial" w:hAnsi="Arial" w:cs="Arial"/>
          <w:b/>
          <w:bCs/>
          <w:sz w:val="24"/>
          <w:szCs w:val="24"/>
        </w:rPr>
        <w:t xml:space="preserve">Secretaria </w:t>
      </w:r>
      <w:r w:rsidR="006A0553">
        <w:rPr>
          <w:rFonts w:ascii="Arial" w:eastAsia="Arial" w:hAnsi="Arial" w:cs="Arial"/>
          <w:b/>
          <w:bCs/>
          <w:sz w:val="24"/>
          <w:szCs w:val="24"/>
        </w:rPr>
        <w:t>Técnica</w:t>
      </w:r>
      <w:r>
        <w:rPr>
          <w:rFonts w:ascii="Arial" w:eastAsia="Arial" w:hAnsi="Arial" w:cs="Arial"/>
          <w:b/>
          <w:bCs/>
          <w:sz w:val="24"/>
          <w:szCs w:val="24"/>
        </w:rPr>
        <w:t xml:space="preserve"> Perla Guadalupe Vallejo Hernández: </w:t>
      </w:r>
      <w:r>
        <w:rPr>
          <w:rFonts w:ascii="Arial" w:eastAsia="Arial" w:hAnsi="Arial" w:cs="Arial"/>
          <w:sz w:val="24"/>
          <w:szCs w:val="24"/>
        </w:rPr>
        <w:t>Gracias Presidenta, procedo.</w:t>
      </w:r>
    </w:p>
    <w:tbl>
      <w:tblPr>
        <w:tblStyle w:val="a0"/>
        <w:tblW w:w="8979" w:type="dxa"/>
        <w:jc w:val="center"/>
        <w:tblInd w:w="0" w:type="dxa"/>
        <w:tblLayout w:type="fixed"/>
        <w:tblLook w:val="0400" w:firstRow="0" w:lastRow="0" w:firstColumn="0" w:lastColumn="0" w:noHBand="0" w:noVBand="1"/>
      </w:tblPr>
      <w:tblGrid>
        <w:gridCol w:w="6912"/>
        <w:gridCol w:w="2067"/>
      </w:tblGrid>
      <w:tr w:rsidR="00E025E6">
        <w:trPr>
          <w:trHeight w:val="1350"/>
          <w:jc w:val="center"/>
        </w:trPr>
        <w:tc>
          <w:tcPr>
            <w:tcW w:w="6912" w:type="dxa"/>
            <w:tcBorders>
              <w:top w:val="single" w:sz="4" w:space="0" w:color="000000"/>
              <w:left w:val="single" w:sz="4" w:space="0" w:color="000000"/>
              <w:bottom w:val="single" w:sz="4" w:space="0" w:color="000000"/>
              <w:right w:val="single" w:sz="4" w:space="0" w:color="000000"/>
            </w:tcBorders>
          </w:tcPr>
          <w:p w:rsidR="006A0553" w:rsidRDefault="00157320" w:rsidP="006A0553">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color w:val="000000"/>
                <w:sz w:val="24"/>
                <w:szCs w:val="24"/>
              </w:rPr>
              <w:t>L</w:t>
            </w:r>
            <w:r w:rsidR="006A0553">
              <w:rPr>
                <w:rFonts w:ascii="Arial" w:eastAsia="Arial" w:hAnsi="Arial" w:cs="Arial"/>
                <w:b/>
                <w:bCs/>
                <w:color w:val="000000"/>
                <w:sz w:val="24"/>
                <w:szCs w:val="24"/>
              </w:rPr>
              <w:t>i</w:t>
            </w:r>
            <w:r>
              <w:rPr>
                <w:rFonts w:ascii="Arial" w:eastAsia="Arial" w:hAnsi="Arial" w:cs="Arial"/>
                <w:b/>
                <w:bCs/>
                <w:color w:val="000000"/>
                <w:sz w:val="24"/>
                <w:szCs w:val="24"/>
              </w:rPr>
              <w:t xml:space="preserve">cda. Carmen Julia Prudencio </w:t>
            </w:r>
            <w:r>
              <w:rPr>
                <w:rFonts w:ascii="Arial" w:eastAsia="Arial" w:hAnsi="Arial" w:cs="Arial"/>
                <w:b/>
                <w:bCs/>
                <w:sz w:val="24"/>
                <w:szCs w:val="24"/>
              </w:rPr>
              <w:t>González</w:t>
            </w:r>
          </w:p>
          <w:p w:rsidR="00E025E6" w:rsidRDefault="00157320" w:rsidP="006A0553">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Coordinadora General de Combate a la Desigualdad </w:t>
            </w:r>
            <w:r>
              <w:rPr>
                <w:rFonts w:ascii="Arial" w:eastAsia="Arial" w:hAnsi="Arial" w:cs="Arial"/>
                <w:color w:val="000000"/>
                <w:sz w:val="24"/>
                <w:szCs w:val="24"/>
              </w:rPr>
              <w:br/>
              <w:t>President</w:t>
            </w:r>
            <w:r>
              <w:rPr>
                <w:rFonts w:ascii="Arial" w:eastAsia="Arial" w:hAnsi="Arial" w:cs="Arial"/>
                <w:sz w:val="24"/>
                <w:szCs w:val="24"/>
              </w:rPr>
              <w:t>a</w:t>
            </w:r>
            <w:r>
              <w:rPr>
                <w:rFonts w:ascii="Arial" w:eastAsia="Arial" w:hAnsi="Arial" w:cs="Arial"/>
                <w:color w:val="000000"/>
                <w:sz w:val="24"/>
                <w:szCs w:val="24"/>
              </w:rPr>
              <w:t xml:space="preserve"> del Comité Dictaminador del Programa Social: </w:t>
            </w:r>
            <w:r>
              <w:rPr>
                <w:rFonts w:ascii="Arial" w:eastAsia="Arial" w:hAnsi="Arial" w:cs="Arial"/>
                <w:color w:val="000000"/>
                <w:sz w:val="24"/>
                <w:szCs w:val="24"/>
              </w:rPr>
              <w:br/>
              <w:t>“Guadalajara Cuida a las Mujeres”.</w:t>
            </w:r>
          </w:p>
        </w:tc>
        <w:tc>
          <w:tcPr>
            <w:tcW w:w="2067"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br/>
            </w:r>
            <w:r>
              <w:rPr>
                <w:rFonts w:ascii="Arial" w:eastAsia="Arial" w:hAnsi="Arial" w:cs="Arial"/>
                <w:b/>
                <w:bCs/>
                <w:color w:val="000000"/>
                <w:sz w:val="24"/>
                <w:szCs w:val="24"/>
              </w:rPr>
              <w:br/>
              <w:t xml:space="preserve"> (Presente)</w:t>
            </w:r>
          </w:p>
        </w:tc>
      </w:tr>
      <w:tr w:rsidR="00E025E6">
        <w:trPr>
          <w:trHeight w:val="1010"/>
          <w:jc w:val="center"/>
        </w:trPr>
        <w:tc>
          <w:tcPr>
            <w:tcW w:w="6912"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L</w:t>
            </w:r>
            <w:r w:rsidR="006A0553">
              <w:rPr>
                <w:rFonts w:ascii="Arial" w:eastAsia="Arial" w:hAnsi="Arial" w:cs="Arial"/>
                <w:b/>
                <w:bCs/>
                <w:color w:val="000000"/>
                <w:sz w:val="24"/>
                <w:szCs w:val="24"/>
              </w:rPr>
              <w:t>i</w:t>
            </w:r>
            <w:r>
              <w:rPr>
                <w:rFonts w:ascii="Arial" w:eastAsia="Arial" w:hAnsi="Arial" w:cs="Arial"/>
                <w:b/>
                <w:bCs/>
                <w:color w:val="000000"/>
                <w:sz w:val="24"/>
                <w:szCs w:val="24"/>
              </w:rPr>
              <w:t>cda. María del Carmen Bayardo Solórzano</w:t>
            </w:r>
          </w:p>
          <w:p w:rsidR="00E025E6" w:rsidRDefault="0015732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color w:val="000000"/>
                <w:sz w:val="24"/>
                <w:szCs w:val="24"/>
              </w:rPr>
              <w:t>Directora de Programas Sociales Municipales.</w:t>
            </w:r>
          </w:p>
        </w:tc>
        <w:tc>
          <w:tcPr>
            <w:tcW w:w="2067"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br/>
              <w:t>(Presente)</w:t>
            </w:r>
          </w:p>
        </w:tc>
      </w:tr>
      <w:tr w:rsidR="00E025E6">
        <w:trPr>
          <w:jc w:val="center"/>
        </w:trPr>
        <w:tc>
          <w:tcPr>
            <w:tcW w:w="6912"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L</w:t>
            </w:r>
            <w:r w:rsidR="006A0553">
              <w:rPr>
                <w:rFonts w:ascii="Arial" w:eastAsia="Arial" w:hAnsi="Arial" w:cs="Arial"/>
                <w:b/>
                <w:bCs/>
                <w:color w:val="000000"/>
                <w:sz w:val="24"/>
                <w:szCs w:val="24"/>
              </w:rPr>
              <w:t>i</w:t>
            </w:r>
            <w:r>
              <w:rPr>
                <w:rFonts w:ascii="Arial" w:eastAsia="Arial" w:hAnsi="Arial" w:cs="Arial"/>
                <w:b/>
                <w:bCs/>
                <w:color w:val="000000"/>
                <w:sz w:val="24"/>
                <w:szCs w:val="24"/>
              </w:rPr>
              <w:t>cda. Sandra García Miranda</w:t>
            </w:r>
            <w:r>
              <w:rPr>
                <w:rFonts w:ascii="Arial" w:eastAsia="Arial" w:hAnsi="Arial" w:cs="Arial"/>
                <w:b/>
                <w:bCs/>
                <w:color w:val="000000"/>
                <w:sz w:val="24"/>
                <w:szCs w:val="24"/>
              </w:rPr>
              <w:br/>
            </w:r>
            <w:r>
              <w:rPr>
                <w:rFonts w:ascii="Arial" w:eastAsia="Arial" w:hAnsi="Arial" w:cs="Arial"/>
                <w:color w:val="000000"/>
                <w:sz w:val="24"/>
                <w:szCs w:val="24"/>
              </w:rPr>
              <w:t>Directora de Egresos</w:t>
            </w:r>
            <w:r>
              <w:rPr>
                <w:rFonts w:ascii="Arial" w:eastAsia="Arial" w:hAnsi="Arial" w:cs="Arial"/>
                <w:color w:val="000000"/>
                <w:sz w:val="24"/>
                <w:szCs w:val="24"/>
              </w:rPr>
              <w:br/>
              <w:t>Representante de la Tesorería del Municipio de Guadalajara.</w:t>
            </w:r>
            <w:r>
              <w:rPr>
                <w:rFonts w:ascii="Arial" w:eastAsia="Arial" w:hAnsi="Arial" w:cs="Arial"/>
                <w:b/>
                <w:bCs/>
                <w:color w:val="000000"/>
                <w:sz w:val="24"/>
                <w:szCs w:val="24"/>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spacing w:after="143"/>
              <w:jc w:val="both"/>
              <w:rPr>
                <w:rFonts w:ascii="Arial" w:eastAsia="Arial" w:hAnsi="Arial" w:cs="Arial"/>
                <w:color w:val="000000"/>
                <w:sz w:val="24"/>
                <w:szCs w:val="24"/>
              </w:rPr>
            </w:pPr>
            <w:r>
              <w:rPr>
                <w:rFonts w:ascii="Arial" w:eastAsia="Arial" w:hAnsi="Arial" w:cs="Arial"/>
                <w:b/>
                <w:bCs/>
                <w:color w:val="000000"/>
                <w:sz w:val="24"/>
                <w:szCs w:val="24"/>
              </w:rPr>
              <w:br/>
            </w:r>
            <w:r>
              <w:rPr>
                <w:rFonts w:ascii="Arial" w:eastAsia="Arial" w:hAnsi="Arial" w:cs="Arial"/>
                <w:b/>
                <w:bCs/>
                <w:color w:val="000000"/>
                <w:sz w:val="24"/>
                <w:szCs w:val="24"/>
              </w:rPr>
              <w:br/>
              <w:t>(Presente)</w:t>
            </w:r>
          </w:p>
        </w:tc>
      </w:tr>
      <w:tr w:rsidR="00E025E6">
        <w:trPr>
          <w:trHeight w:val="1172"/>
          <w:jc w:val="center"/>
        </w:trPr>
        <w:tc>
          <w:tcPr>
            <w:tcW w:w="6912"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lastRenderedPageBreak/>
              <w:t>L</w:t>
            </w:r>
            <w:r w:rsidR="006A0553">
              <w:rPr>
                <w:rFonts w:ascii="Arial" w:eastAsia="Arial" w:hAnsi="Arial" w:cs="Arial"/>
                <w:b/>
                <w:bCs/>
                <w:color w:val="000000"/>
                <w:sz w:val="24"/>
                <w:szCs w:val="24"/>
              </w:rPr>
              <w:t>i</w:t>
            </w:r>
            <w:r>
              <w:rPr>
                <w:rFonts w:ascii="Arial" w:eastAsia="Arial" w:hAnsi="Arial" w:cs="Arial"/>
                <w:b/>
                <w:bCs/>
                <w:color w:val="000000"/>
                <w:sz w:val="24"/>
                <w:szCs w:val="24"/>
              </w:rPr>
              <w:t>cda. Lourdes Alejandra González Mancillas</w:t>
            </w:r>
          </w:p>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Representante del Sistema para el Desarrollo Integral de la Familia de Guadalajara.</w:t>
            </w:r>
          </w:p>
        </w:tc>
        <w:tc>
          <w:tcPr>
            <w:tcW w:w="2067"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spacing w:after="143"/>
              <w:jc w:val="both"/>
              <w:rPr>
                <w:rFonts w:ascii="Arial" w:eastAsia="Arial" w:hAnsi="Arial" w:cs="Arial"/>
                <w:color w:val="000000"/>
                <w:sz w:val="24"/>
                <w:szCs w:val="24"/>
              </w:rPr>
            </w:pPr>
            <w:r>
              <w:rPr>
                <w:rFonts w:ascii="Arial" w:eastAsia="Arial" w:hAnsi="Arial" w:cs="Arial"/>
                <w:b/>
                <w:bCs/>
                <w:color w:val="000000"/>
                <w:sz w:val="24"/>
                <w:szCs w:val="24"/>
              </w:rPr>
              <w:br/>
              <w:t>(Presente)</w:t>
            </w:r>
          </w:p>
        </w:tc>
      </w:tr>
      <w:tr w:rsidR="00E025E6">
        <w:trPr>
          <w:trHeight w:val="964"/>
          <w:jc w:val="center"/>
        </w:trPr>
        <w:tc>
          <w:tcPr>
            <w:tcW w:w="6912"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L</w:t>
            </w:r>
            <w:r w:rsidR="006A0553">
              <w:rPr>
                <w:rFonts w:ascii="Arial" w:eastAsia="Arial" w:hAnsi="Arial" w:cs="Arial"/>
                <w:b/>
                <w:bCs/>
                <w:color w:val="000000"/>
                <w:sz w:val="24"/>
                <w:szCs w:val="24"/>
              </w:rPr>
              <w:t>i</w:t>
            </w:r>
            <w:r>
              <w:rPr>
                <w:rFonts w:ascii="Arial" w:eastAsia="Arial" w:hAnsi="Arial" w:cs="Arial"/>
                <w:b/>
                <w:bCs/>
                <w:color w:val="000000"/>
                <w:sz w:val="24"/>
                <w:szCs w:val="24"/>
              </w:rPr>
              <w:t>cda. Ivonne Guadalupe Sánchez Tinoco</w:t>
            </w:r>
          </w:p>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Encargada del Instituto Municipal de las Mujeres de Guadalajara.</w:t>
            </w:r>
          </w:p>
        </w:tc>
        <w:tc>
          <w:tcPr>
            <w:tcW w:w="2067" w:type="dxa"/>
            <w:tcBorders>
              <w:top w:val="single" w:sz="4" w:space="0" w:color="000000"/>
              <w:left w:val="single" w:sz="4" w:space="0" w:color="000000"/>
              <w:bottom w:val="single" w:sz="4" w:space="0" w:color="000000"/>
              <w:right w:val="single" w:sz="4" w:space="0" w:color="000000"/>
            </w:tcBorders>
          </w:tcPr>
          <w:p w:rsidR="00E025E6" w:rsidRDefault="00E025E6">
            <w:pPr>
              <w:pBdr>
                <w:top w:val="nil"/>
                <w:left w:val="nil"/>
                <w:bottom w:val="nil"/>
                <w:right w:val="nil"/>
                <w:between w:val="nil"/>
              </w:pBdr>
              <w:spacing w:after="143"/>
              <w:jc w:val="both"/>
              <w:rPr>
                <w:rFonts w:ascii="Arial" w:eastAsia="Arial" w:hAnsi="Arial" w:cs="Arial"/>
                <w:b/>
                <w:bCs/>
                <w:color w:val="000000"/>
                <w:sz w:val="24"/>
                <w:szCs w:val="24"/>
              </w:rPr>
            </w:pPr>
          </w:p>
          <w:p w:rsidR="00E025E6" w:rsidRDefault="00157320">
            <w:pPr>
              <w:pBdr>
                <w:top w:val="nil"/>
                <w:left w:val="nil"/>
                <w:bottom w:val="nil"/>
                <w:right w:val="nil"/>
                <w:between w:val="nil"/>
              </w:pBdr>
              <w:spacing w:after="143"/>
              <w:jc w:val="both"/>
              <w:rPr>
                <w:rFonts w:ascii="Arial" w:eastAsia="Arial" w:hAnsi="Arial" w:cs="Arial"/>
                <w:b/>
                <w:bCs/>
                <w:color w:val="000000"/>
                <w:sz w:val="24"/>
                <w:szCs w:val="24"/>
              </w:rPr>
            </w:pPr>
            <w:r>
              <w:rPr>
                <w:rFonts w:ascii="Arial" w:eastAsia="Arial" w:hAnsi="Arial" w:cs="Arial"/>
                <w:b/>
                <w:bCs/>
                <w:color w:val="000000"/>
                <w:sz w:val="24"/>
                <w:szCs w:val="24"/>
              </w:rPr>
              <w:t>(Presente)</w:t>
            </w:r>
          </w:p>
        </w:tc>
      </w:tr>
      <w:tr w:rsidR="00E025E6">
        <w:trPr>
          <w:jc w:val="center"/>
        </w:trPr>
        <w:tc>
          <w:tcPr>
            <w:tcW w:w="6912"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L</w:t>
            </w:r>
            <w:r w:rsidR="006A0553">
              <w:rPr>
                <w:rFonts w:ascii="Arial" w:eastAsia="Arial" w:hAnsi="Arial" w:cs="Arial"/>
                <w:b/>
                <w:bCs/>
                <w:color w:val="000000"/>
                <w:sz w:val="24"/>
                <w:szCs w:val="24"/>
              </w:rPr>
              <w:t>i</w:t>
            </w:r>
            <w:r>
              <w:rPr>
                <w:rFonts w:ascii="Arial" w:eastAsia="Arial" w:hAnsi="Arial" w:cs="Arial"/>
                <w:b/>
                <w:bCs/>
                <w:color w:val="000000"/>
                <w:sz w:val="24"/>
                <w:szCs w:val="24"/>
              </w:rPr>
              <w:t>cda. Victoria Guadalupe Alvarado Hernández</w:t>
            </w:r>
          </w:p>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Representante de la Contraloría Ciudadana de Guadalajara</w:t>
            </w:r>
          </w:p>
        </w:tc>
        <w:tc>
          <w:tcPr>
            <w:tcW w:w="2067"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spacing w:after="143"/>
              <w:jc w:val="both"/>
              <w:rPr>
                <w:rFonts w:ascii="Arial" w:eastAsia="Arial" w:hAnsi="Arial" w:cs="Arial"/>
                <w:color w:val="000000"/>
                <w:sz w:val="24"/>
                <w:szCs w:val="24"/>
              </w:rPr>
            </w:pPr>
            <w:r>
              <w:rPr>
                <w:rFonts w:ascii="Arial" w:eastAsia="Arial" w:hAnsi="Arial" w:cs="Arial"/>
                <w:b/>
                <w:bCs/>
                <w:color w:val="000000"/>
                <w:sz w:val="24"/>
                <w:szCs w:val="24"/>
              </w:rPr>
              <w:br/>
              <w:t>(Presente)</w:t>
            </w:r>
          </w:p>
        </w:tc>
      </w:tr>
      <w:tr w:rsidR="00E025E6">
        <w:trPr>
          <w:jc w:val="center"/>
        </w:trPr>
        <w:tc>
          <w:tcPr>
            <w:tcW w:w="6912"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sz w:val="24"/>
                <w:szCs w:val="24"/>
              </w:rPr>
              <w:t>L</w:t>
            </w:r>
            <w:r w:rsidR="006A0553">
              <w:rPr>
                <w:rFonts w:ascii="Arial" w:eastAsia="Arial" w:hAnsi="Arial" w:cs="Arial"/>
                <w:b/>
                <w:bCs/>
                <w:sz w:val="24"/>
                <w:szCs w:val="24"/>
              </w:rPr>
              <w:t>i</w:t>
            </w:r>
            <w:r>
              <w:rPr>
                <w:rFonts w:ascii="Arial" w:eastAsia="Arial" w:hAnsi="Arial" w:cs="Arial"/>
                <w:b/>
                <w:bCs/>
                <w:sz w:val="24"/>
                <w:szCs w:val="24"/>
              </w:rPr>
              <w:t xml:space="preserve">cda. </w:t>
            </w:r>
            <w:r>
              <w:rPr>
                <w:rFonts w:ascii="Arial" w:eastAsia="Arial" w:hAnsi="Arial" w:cs="Arial"/>
                <w:b/>
                <w:bCs/>
                <w:color w:val="000000"/>
                <w:sz w:val="24"/>
                <w:szCs w:val="24"/>
              </w:rPr>
              <w:t>Perla Guadalupe Vallejo Hernández</w:t>
            </w:r>
          </w:p>
          <w:p w:rsidR="00E025E6" w:rsidRDefault="0015732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Jefa del Programa Guadalajara Cuida a las Mujeres.</w:t>
            </w:r>
          </w:p>
        </w:tc>
        <w:tc>
          <w:tcPr>
            <w:tcW w:w="2067" w:type="dxa"/>
            <w:tcBorders>
              <w:top w:val="single" w:sz="4" w:space="0" w:color="000000"/>
              <w:left w:val="single" w:sz="4" w:space="0" w:color="000000"/>
              <w:bottom w:val="single" w:sz="4" w:space="0" w:color="000000"/>
              <w:right w:val="single" w:sz="4" w:space="0" w:color="000000"/>
            </w:tcBorders>
          </w:tcPr>
          <w:p w:rsidR="00E025E6" w:rsidRDefault="00157320">
            <w:pPr>
              <w:pBdr>
                <w:top w:val="nil"/>
                <w:left w:val="nil"/>
                <w:bottom w:val="nil"/>
                <w:right w:val="nil"/>
                <w:between w:val="nil"/>
              </w:pBdr>
              <w:spacing w:after="143"/>
              <w:jc w:val="both"/>
              <w:rPr>
                <w:rFonts w:ascii="Arial" w:eastAsia="Arial" w:hAnsi="Arial" w:cs="Arial"/>
                <w:color w:val="000000"/>
                <w:sz w:val="24"/>
                <w:szCs w:val="24"/>
              </w:rPr>
            </w:pPr>
            <w:r>
              <w:rPr>
                <w:rFonts w:ascii="Arial" w:eastAsia="Arial" w:hAnsi="Arial" w:cs="Arial"/>
                <w:b/>
                <w:bCs/>
                <w:color w:val="000000"/>
                <w:sz w:val="24"/>
                <w:szCs w:val="24"/>
              </w:rPr>
              <w:br/>
              <w:t>(Presente)</w:t>
            </w:r>
          </w:p>
        </w:tc>
      </w:tr>
    </w:tbl>
    <w:p w:rsidR="00E025E6" w:rsidRDefault="00E025E6">
      <w:pPr>
        <w:pBdr>
          <w:top w:val="nil"/>
          <w:left w:val="nil"/>
          <w:bottom w:val="nil"/>
          <w:right w:val="nil"/>
          <w:between w:val="nil"/>
        </w:pBdr>
        <w:spacing w:after="0"/>
        <w:ind w:left="849" w:hanging="283"/>
        <w:jc w:val="both"/>
        <w:rPr>
          <w:rFonts w:ascii="Arial" w:eastAsia="Arial" w:hAnsi="Arial" w:cs="Arial"/>
          <w:color w:val="000000"/>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También queremos agradecer la presencia de Víctor Cervantes Franco, quien es nuestro enlace administrativo y que fue la persona que se designó para hacer enlace con esta vertiente que tenemos en el programa Guadalajara.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En virtud de la asistencia, en este comité se puede sesionar válidamente por lo que declaró existencia del Código Reglamentario.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b/>
          <w:bCs/>
          <w:sz w:val="24"/>
          <w:szCs w:val="24"/>
        </w:rPr>
      </w:pPr>
      <w:r>
        <w:rPr>
          <w:rFonts w:ascii="Arial" w:eastAsia="Arial" w:hAnsi="Arial" w:cs="Arial"/>
          <w:b/>
          <w:bCs/>
          <w:sz w:val="24"/>
          <w:szCs w:val="24"/>
        </w:rPr>
        <w:t>SEGUNDO PUNTO.- Lectura y aprobación del orden del día</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Continuando con el segundo punto del orden del día relativo a la lectura en su caso de aprobación del orden del día, le solicitó a la Secretaria Técnica haga uso de la voz.</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Secretaria </w:t>
      </w:r>
      <w:r w:rsidR="006A0553">
        <w:rPr>
          <w:rFonts w:ascii="Arial" w:eastAsia="Arial" w:hAnsi="Arial" w:cs="Arial"/>
          <w:b/>
          <w:bCs/>
          <w:sz w:val="24"/>
          <w:szCs w:val="24"/>
        </w:rPr>
        <w:t>Técnica</w:t>
      </w:r>
      <w:r>
        <w:rPr>
          <w:rFonts w:ascii="Arial" w:eastAsia="Arial" w:hAnsi="Arial" w:cs="Arial"/>
          <w:b/>
          <w:bCs/>
          <w:sz w:val="24"/>
          <w:szCs w:val="24"/>
        </w:rPr>
        <w:t xml:space="preserve"> Perla Guadalupe Vallejo Hernández</w:t>
      </w:r>
      <w:r>
        <w:rPr>
          <w:rFonts w:ascii="Arial" w:eastAsia="Arial" w:hAnsi="Arial" w:cs="Arial"/>
          <w:sz w:val="24"/>
          <w:szCs w:val="24"/>
        </w:rPr>
        <w:t>: Gracias, como lo instruye, Presidenta, procedo:</w:t>
      </w:r>
    </w:p>
    <w:p w:rsidR="00E025E6" w:rsidRDefault="00E025E6">
      <w:pPr>
        <w:spacing w:after="0" w:line="240" w:lineRule="auto"/>
        <w:jc w:val="both"/>
        <w:rPr>
          <w:rFonts w:ascii="Arial" w:eastAsia="Arial" w:hAnsi="Arial" w:cs="Arial"/>
          <w:sz w:val="24"/>
          <w:szCs w:val="24"/>
        </w:rPr>
      </w:pPr>
    </w:p>
    <w:p w:rsidR="00E025E6" w:rsidRDefault="0015732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 xml:space="preserve">Lista de asistencia; </w:t>
      </w:r>
    </w:p>
    <w:p w:rsidR="00E025E6" w:rsidRDefault="0015732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Lectura y aprobación del orden del día;</w:t>
      </w:r>
    </w:p>
    <w:p w:rsidR="00E025E6" w:rsidRDefault="0015732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 xml:space="preserve">Estudio y análisis para la implementación del fondo revolvente de la vertiente A del programa Guadalajara Cuida a las Mujeres; </w:t>
      </w:r>
    </w:p>
    <w:p w:rsidR="00E025E6" w:rsidRDefault="0015732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 xml:space="preserve">Clausura.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Es cuanto, Presidenta.</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Bien, ¿alguien desea hacer uso de la voz? Les pregunto si es de aprobarse el Orden del Día propuesto, favor de manifestarlo levantando su mano.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Aprobado por UNANIMIDAD, gracias. </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b/>
          <w:bCs/>
          <w:sz w:val="24"/>
          <w:szCs w:val="24"/>
        </w:rPr>
      </w:pPr>
      <w:r>
        <w:rPr>
          <w:rFonts w:ascii="Arial" w:eastAsia="Arial" w:hAnsi="Arial" w:cs="Arial"/>
          <w:b/>
          <w:bCs/>
          <w:sz w:val="24"/>
          <w:szCs w:val="24"/>
        </w:rPr>
        <w:t>TERCER PUNTO.-  Estudio y el análisis para la implementación del fondo revolvente de la vertiente A del programa Guadalajara Cuida a las Mujeres</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En el tercer punto del Orden del Día, tenemos el Estudio y el Análisis para la Implementación del fondo revolvente de la vertiente A del Programa </w:t>
      </w:r>
      <w:r>
        <w:rPr>
          <w:rFonts w:ascii="Arial" w:eastAsia="Arial" w:hAnsi="Arial" w:cs="Arial"/>
          <w:sz w:val="24"/>
          <w:szCs w:val="24"/>
        </w:rPr>
        <w:lastRenderedPageBreak/>
        <w:t>Guadalajara Cuida a las Mujeres, por lo que cedo el uso de la voz a la Secretaria Técnica para el desarrollo de este punto.</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Secretaria </w:t>
      </w:r>
      <w:r w:rsidR="006A0553">
        <w:rPr>
          <w:rFonts w:ascii="Arial" w:eastAsia="Arial" w:hAnsi="Arial" w:cs="Arial"/>
          <w:b/>
          <w:bCs/>
          <w:sz w:val="24"/>
          <w:szCs w:val="24"/>
        </w:rPr>
        <w:t>Técnica</w:t>
      </w:r>
      <w:r>
        <w:rPr>
          <w:rFonts w:ascii="Arial" w:eastAsia="Arial" w:hAnsi="Arial" w:cs="Arial"/>
          <w:b/>
          <w:bCs/>
          <w:sz w:val="24"/>
          <w:szCs w:val="24"/>
        </w:rPr>
        <w:t xml:space="preserve"> Perla Guadalupe Vallejo Hernández: </w:t>
      </w:r>
      <w:r>
        <w:rPr>
          <w:rFonts w:ascii="Arial" w:eastAsia="Arial" w:hAnsi="Arial" w:cs="Arial"/>
          <w:sz w:val="24"/>
          <w:szCs w:val="24"/>
        </w:rPr>
        <w:t>Muchas gracias Presidenta. Bueno, derivado de la primera sesión ordinaria del Comité Dictaminador del Programa Guadalajara Cuida a las Mujeres, llevada a cabo el día 16 de abril del presente año, es por lo que estamos reunidos en esta ocasión para estudiar y analizar la implementación del fondo revolvente de la vertiente A del programa Guadalajara Cuida a las Mujeres, la cual, como recordarán, la vertiente A tiene un monto de presupuesto asignado de 520 mil del presupuesto asignado al programa, que son 6 millones.</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En este apoyo económico, este apoyo emergente va a ser utilizado para necesidades como lo son alimentación, hospedaje, necesidades médicas derivadas del último acto de violencia por parte de su agresión, así como vestimenta, calzado, insumos de acción personal, transportación, entre otras cosas que se consideren básicas e inmediatas para atender esta situación.</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Dentro de las atribuciones de este Comité, pues está otorgar la atribución a una persona representante de la Dirección de Programas Sociales, que como bien recordarán, se designó al Licenciado Víctor Francisco Cervantes Franco para llevar a cabo dicho trámite del programa y de esta Vertiente. Recibimos. Bueno, mejor ya nada más para recordar, quedaba pendiente, es hacer esta mesa de análisis, Presidenta, con lo que procedemos.</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Gracias; pues tenemos ese gran reto de ver cómo podemos, por un lado, comprobar primero cómo se va a dar el recurso y cómo lo podemos comprobar. Estamos apegados a las Regla de Operación, entonces abro la participación de las ideas que podamos nosotros, desde nuestros lugares, aportar para llegar a un acuerdo y poder aprobarlo en este comité y que todo esté en regla para poder utilizar el recurso de la mejor manera.</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¿Alguien empieza a empezar?, ¿Quién inicia?</w:t>
      </w:r>
    </w:p>
    <w:p w:rsidR="00E025E6" w:rsidRDefault="00E025E6">
      <w:pPr>
        <w:spacing w:after="0" w:line="240" w:lineRule="auto"/>
        <w:jc w:val="both"/>
        <w:rPr>
          <w:rFonts w:ascii="Arial" w:eastAsia="Arial" w:hAnsi="Arial" w:cs="Arial"/>
          <w:sz w:val="24"/>
          <w:szCs w:val="24"/>
        </w:rPr>
      </w:pP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Bueno, pues como lo requieren las Reglas de Operación, dentro del capítulo 4000, Víctor, que usas más que en todos porque tú llevas todos, dentro de la partida 4411 que atiende a Programas Sociales y atendiendo a que las Regla de Operación dice que el expediente que tú deberás entregar a Tesorería se conforma de diversos numerales entre los cuales engloba la factura correspondiente, no le da otra denominación que no sea factura. </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 xml:space="preserve">Entonces, bajo ese supuesto y contemplando que hay otros programas, voy a poner como referencia a subsidios, se da la posibilidad de que el beneficiado emita los comprobantes, en particular porque las reglas así lo abarcan, esta es muy cerrada. </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Cualquier documento o comprobante que compruebe que atendió el servicio atendiendo al objeto de la convocatoria, en este no.</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Entonces, el otro día preguntamos, que la factura a nombre de quién tendría que estar emitida,  bajo ese supuesto yo creo que podría aplicar el que la factura se emita al público en general ¿Por qué? Porque si buscamos que la factura se emita en nombre del beneficiario y este no tiene, o sea le vas a tener un menoscabo ¿De qué sentido? Una, que van a emitirse facturas y si él no deduce o no declara, pues le vas a dejar ahí el daño. Y dos, si no está habilitada en el SAT, ¿cómo le vas a emitir una factura fiscal?</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Entonces, bajo estos dos supuestos es que yo pongo sobre la mesa a reserva de lo que indique Víctor y el resto del comité, que a lo mejor la factura se puede emitir a público en general, puesto que el fin del programa no es que el municipio lo deduzca, sino otorgarle el apoyo en su totalidad; no sé si más o menos me dí a entender, esa es la opción que se me ocurre, atendiendo a que las reglas son cuadradas.</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Y es más fácil que a lo mejor el beneficiario solicite una factura y a quien te la emite, pues público en general; o si ella quiere que se le emitan a su nombre, pues también abrirle la posibilidad.  Eso es lo que yo sugiero, reserva lo que indique Tesorería y el resto. O no sé si platicaron, si tuvieron la oportunidad de revisar el tema.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No, de hecho era el objetivo de la regla, sí, Eso ¿Quieren que les lea la regla?, que dice, “Criterios de selección la vertiente A Apoyo Emergente:</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“La dirección responsable del programa validará individualmente que la solicitud recibida cumpla con los criterios y requisitos de elegibilidad” Numeral 10 de las presentaciones de operación y con ello previsto en la convocatoria respectiva.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Una vez recibida la atribución por parte del comité dictaminador, la selección de mujeres beneficiarias se realizará a través de personas representantes de la Dirección de Programas Sociales de acuerdo a los siguientes puntos. Dice cumplimiento correcto, completo y legible de cada uno de los criterios y requisitos de elegibilidad.</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La condición socioeconómica de la persona solicitante será evaluada a través de las respuestas otorgadas en la aplicación de la entrevista presencial realizada por personal de registro del programa.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La disponibilidad de recursos presupuestarios y fondos revolventes para apoyos económicos de la vertiente. De cumplirse los puntos anteriores, la Dirección del Programa Sociales Municipales solicitará a la Jefatura de Nación Administrativa una entrega del apoyo económico a través del fondo revolvente a la persona autorizada.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Por la naturaleza del objetivo al que pretende abonar esta vertiente de apoyo, el Comité Dictaminado sesionará de manera mensual y/o bimestral según el número de solicitudes que hayan sido recibidas y atendidas por medio de la entrega de apoyos económicos.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Para que sea expuesta y actualizada la lista de beneficiarios en esta vertiente, la Dirección del Programa Sociales Municipales presentará al Comité Dictaminador en las sesiones que se ha convocado su informe sobre los apoyos entregados a través de esta vertiente y de las mujeres que fueron beneficiarias en el periodo correspondiente.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El dictamen quedará sentado en el acta de dictaminación en la cual deberá incluir el monto del apoyo económico entregado a cada beneficiario.” Eso es lo que dice. Nada más.</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Victoria Guadalupe Alvarado Hernández</w:t>
      </w:r>
      <w:r>
        <w:rPr>
          <w:rFonts w:ascii="Arial" w:eastAsia="Arial" w:hAnsi="Arial" w:cs="Arial"/>
          <w:sz w:val="24"/>
          <w:szCs w:val="24"/>
        </w:rPr>
        <w:t xml:space="preserve">: Por ejemplo, dentro de las mismas reglas en la página 28 que habla de las medidas de comprobación del gasto del recurso, aquí se despliegan lo que yo les he comentado.  El uno que es el acuse del acta del Comité de nosotros, el listado de los beneficiarios que deberán cumplir con todo lo que ya comentaron en su momento, el acta de dictaminación, el recibo, recibos originales firmados donde vas a otorgar el apoyo, el INE, el oficio de solicitud que emite CIAD, el archivo digital del expediente escaneado que debe tener cada beneficiario y el último punto es facturas que soporten el uso del apoyo económico. Entonces no sé, Sandra, si una factura emitida a público en general cumple con el perfil. </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 xml:space="preserve">Yo lo veo porque lo que yo refería, que a lo mejor al otorgarle un beneficio puedes generar menos cabos si le emites una factura o si no quiere que se le emita la factura a ella, pues no es obligado. </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 xml:space="preserve">Y la otra porque no abre, y lo digo particularmente en subsidios, subsidios que dicen factura, notas, comprobantes o cualquiera que haga las veces, aquí no. Pero también la factura emitida en </w:t>
      </w:r>
      <w:r>
        <w:rPr>
          <w:rFonts w:ascii="Arial" w:eastAsia="Arial" w:hAnsi="Arial" w:cs="Arial"/>
          <w:sz w:val="24"/>
          <w:szCs w:val="24"/>
        </w:rPr>
        <w:lastRenderedPageBreak/>
        <w:t>municipio yo creo que tampoco porque no atiende la partida 44, que es el fin de Programas Sociales, entonces no hay mucho margen.</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Yo creo que es la mejor medida que fuera a público en general, la cuestión es que no todos los negocios te facturan como al público en general porque te van a pedir tu RFC, entonces tal vez sería como hacer la labor de aquellos puntos, eso lo platicamos en una de las visitas de Víctor a la Tesorería, ubicar como aquellos lugares que fueran de alimento, aquellos lugares que fueran para atención médica, aquellos lugares que fueran como algún negocio, tener localizado algún negocio y platicar tal vez con ellos, acercarnos y comentarles cuál es como el alcance del programa para que entonces sí haya la manera que le puedan facturar al público en general sin que te pidan la constancia, o sea, no un registro de RFC.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Pensando en ampliar eso, como está planteado en otros programas de subsidio, a que lo podamos ampliar como Comité de lo que no está contemplado en RFC, o sea el comité de facultades está contemplada la factura, ¿lo podamos ampliar a algún otro comprobante como refieren otras o se sale de las facultades del Comité?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Victoria Guadalupe Alvarado Hernández:</w:t>
      </w:r>
      <w:r>
        <w:rPr>
          <w:rFonts w:ascii="Arial" w:eastAsia="Arial" w:hAnsi="Arial" w:cs="Arial"/>
          <w:sz w:val="24"/>
          <w:szCs w:val="24"/>
        </w:rPr>
        <w:t xml:space="preserve"> Yo creo que excede y eso tendrías que presentarlo y pues el programa pleno no te va a modificar esas alturas del partido, yo siento que eso ya es de Tesorería, o sea el margen que ellos te van a permitir, porque ojo hay algo muy importante, si bien te dicen que el primer fondo te lo va a emitir por 60 mil, si no le compruebas no te lo emitió, y si tienes más beneficiarse en el camino vas a detener el proceso, y eso en lugar de un beneficio va a ser una afectación.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Porque como está puntualizado, o sea te dice, la cuestión fue que lo que se llama fondo revolvente, y por lo tanto al momento de llamarse fondo revolvente se alinea a la comprobación que actualmente se desarrolla, y luego no solo ese punto, sino que abajo te dice que te emitan las facturas correspondientes, entonces ese es otro punto que te vuelve a amarrar a hacer la comprobación como un fondo como se lleva ahorita.</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 xml:space="preserve">La otra medida sería eso, lo que ya nos rebasa, queremos cambiarle el nombre, que no fuera un fondo revolvente tendría que irse a comisiones otra vez para que no se llamará fondo revolvente y para que no te pidiera facturas, solo factura, que fuera más abierto.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Esto ya sería en el próximo ejercicio.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Pero en realidad si es para un tema de urgencia, de emergente, ¿cuáles son las situaciones emergentes más frecuentes en tener los espacios que la puedan atender y evitar facturas?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Victoria Guadalupe Alvarado Hernández</w:t>
      </w:r>
      <w:r>
        <w:rPr>
          <w:rFonts w:ascii="Arial" w:eastAsia="Arial" w:hAnsi="Arial" w:cs="Arial"/>
          <w:sz w:val="24"/>
          <w:szCs w:val="24"/>
        </w:rPr>
        <w:t xml:space="preserve">: Es lo que decía Sandra, asegurar, el tema es ese, se pretende, asumimos que de buena fe va a suceder, y si no…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Ahí estaríamos de acuerdo a la sugerencia, la propuesta es que estuviéramos hablando con establecimientos en temas de alimentación, hospedaje, médica, calzado de insumos de esa persona, transporte.., alguien que nos pueda apoyar para que la factura sea así.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Perdón que le interrumpa Coordinadora, yo creo que ahí se contraviene con lo que refería la Coordinadora, cuando yo les decía convenios, me decían, pues sí, pero a la hora de una urgencia, una necesidad, el convenio tal…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A la hora de hablar con alguna dependencia, pero el transporte, con quienes sí pudieran, con quién centros de justicia han hecho, o sea, no tienen convenio, a lo mejor ellos tienen más facilidad, conocen a los de transporte, con quién nos podemos coordinar para que salgan las facturas.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lastRenderedPageBreak/>
        <w:t xml:space="preserve">Victoria Guadalupe Alvarado Hernández: </w:t>
      </w:r>
      <w:r>
        <w:rPr>
          <w:rFonts w:ascii="Arial" w:eastAsia="Arial" w:hAnsi="Arial" w:cs="Arial"/>
          <w:sz w:val="24"/>
          <w:szCs w:val="24"/>
        </w:rPr>
        <w:t>El tema son los tiempos, hoy ya es pública, si hoy tienes una mañana, ¿cómo lo vas a votar? O sea, la chamba que debiste de haber agotado ya no te va a dar, tendrías que arrancar y atender la necesidad del servicio. Es que no es que eso te limita mucho, pero eso va a estar.</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Bueno, creo que los que estamos en la mesa, no sé si ustedes leyeron las Reglas de Operación antes de… Es que yo no participé en la construcción de las Reglas de Operación, entonces somos muros ajenos, entonces ahora nos toca ejecutarlas, y es ahí donde estamos tratando de encontrarle cómo sí, pero si están tan cerradas, pues nuestra obligación es cuidarlas lo máximo posible, y solamente que tengamos una situación de emergencia, pues atenderla y ajustarnos a lo que nos permite la regla.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Ahora, creo yo que… Tengo una pequeña duda, o sea, si tenemos una cuestión de emergencia y no tengan más que dónde ir, que tuvieran que facturar, pero con un RFC, o sea, en esa cuestión de emergencia, no sé qué tanto nos pegaría el que le emitan a nombre del municipio. No sé.</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No sé por qué. El fin de que esté en ese capítulo y en esa partida es horrible, porque está en combate, o sea, si no lo hubieran mandado a cualquier organización y se ejerce bajo otro programa, ¿cuándo se va a arriesgar?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Pero para los voluntarios del programa listos y listos para la escuela para poderles hacer la transferencia, nos pidieron RFC y se generan los RFC genéricos, ¿no?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O sea, que te aseguras que lo tienes. Nada más que eso sería extra, porque en la…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Pero para que lo puedan facturar, digo, pero al final del día, si el negocio… Porque, digo, en un supuesto de situación de emergencia, ahorita la persona requiere y se le tiene que hospedar por medicina y ya, se le compra todo. La factura la puedes emitir después, para poderla… o sea, al momento de la emisión de la factura, pues ya le tramitamos el RFC genérico.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Es que esa es la intención, de acercarse a los negocios primero, que creo yo que pudiéramos apoyarnos tal vez de la Dirección de Adquisiciones, que ellos conocen ya a muchos proveedores de todos los segmentos de las compas, a quien pudiéramos tener como aliado, o sea, de acercarnos y que nos dieran esas… Entonces, atiéndelo en el momento y luego vemos la parte de la facturación. Cuando fuera la revolvencia, ¿sí me explico? O sea, lo primero es tener el fondo, liquidez allí, atienden a las primeras audiencias y cuando venga tu revolvencia, para volver a pedir el dinero, allí es donde ya, en el ínter de que la atendiste, a que vas con la revolvencia, allí hacemos todo el proceso administrativo.</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¿De la comprobación? De la comprobación. ¿Qué está considerando usted esta vez para la emisión de la factura?, Con independencia de la integración del expediente y la remisión que…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Sí, y sobre todo, lo que es tratar de devolverles, o sea, devolverles el… Tener el fondo en la caja porque vas a tener, yo me imagino que cuando esto ya sea abierto y vean todo, la respuesta van a tener.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No, esperemos que no. Porque se requiere de un expediente donde se valide que lo sujeta a la violencia...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¿Pero ya hay expedientes 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lastRenderedPageBreak/>
        <w:t xml:space="preserve">María del Carmen Bayardo Solórzano: </w:t>
      </w:r>
      <w:r>
        <w:rPr>
          <w:rFonts w:ascii="Arial" w:eastAsia="Arial" w:hAnsi="Arial" w:cs="Arial"/>
          <w:sz w:val="24"/>
          <w:szCs w:val="24"/>
        </w:rPr>
        <w:t>No, de este no hay.</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No, pero no sé si muchas Coral, para fondo revolvente, para ese tipo de cosas. O sea, ¿pasa mucho?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A ver, ¿que necesitemos ese dinero?</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No, la recurrencia de mujeres en esa situación.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No, no pasa mucho.</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O sea, como lo dice Sandra, que si lo abrimos, que haya personas, ¿no? Porque como lo que pasa es que ahí dice, ahí dice que es como la situación de la última situación de violencia que tuvo. Entonces, pues son mujeres de emergencia. Y además no lo sabemos, como no lo hemos dado, tampoco lo sabemos.</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De este ejemplo que yo decía la vez pasada. El tema de partidas y eso, yo… Si necesita una atención psiquiátrica, la tengo que llevar con un psiquiatra que facture, ¿sí?. Y si necesita un medicamento, se le compra un medicamento y eso no hay problema, pero el psiquiatra tiene que facturar, ¿sí? Si necesito que me la resguarden porque no hay cabida donde…</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Que sea el tema que ya refería usted en otra ocasión.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 xml:space="preserve">Ajá, sí.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Que te bloquean porque pues dicen, no puedo hacer uso en su totalidad.</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Pero eso es a lo que comentamos de acercarnos antes, antes de que lleguen todas las mujeres es ubicar un lugar donde puedas tener alimentos preparados, o sea, una cocina, tal vez una cocina económica o un negocio no tan grande, pero que te cocinen, que siempre ubiques tú, es decir, vete a tal parte y tráete la comida ahorita. Y que después los medianos negocios te permiten eso, el facturar al público en general, porque justamente no te piden una constancia de situación fiscal. Entonces, con ellos te pueden ir surtiendo y te hacen como lo que antes le llamaban notas demostradoras y al final de tu mes te facturan, o al final de tus operaciones.</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Tú dices, voy por, no sé, un número de 10 comidas y me facturas. Y ya las vas a tener listas para el momento de ir a la tesorería a que pidan de nuevo la revolvencia.  Primero vas a tener un dinero líquido allí, no sé, unos 50 mil pesos.</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Y tienes entonces la atención de… Cinco. Cinco mujeres. Tú las atiendes, pero antes de que las tengas aquí paradas junto contigo, ya votamos antes las visitas con aquellos negocios que nos puedan facturar después, no en el momento inmediato.</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En el momento inmediato es tráete la comida, tráete la despensa, tráete lo que necesites ahorita. Y después, cuando ya tengas, no sé, dos, tres atenciones, sabes que de aquello que nos facturó, para ver lo del pago, que nos haga una factura de público en general, y no le tienes que dar la constancia de nada. Te facturan como a cualquier persona que no tiene justamente la constancia.</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Yo tengo una duda, Sandy. Porque si te emite una factura a todas las comidas que sucedieron, ¿cómo las va a agrupar Víctor por expediente?, ¿Va a replicar la misma factura? </w:t>
      </w:r>
    </w:p>
    <w:p w:rsidR="00E025E6" w:rsidRDefault="00157320">
      <w:pPr>
        <w:spacing w:line="240" w:lineRule="auto"/>
        <w:jc w:val="both"/>
        <w:rPr>
          <w:rFonts w:ascii="Arial" w:eastAsia="Arial" w:hAnsi="Arial" w:cs="Arial"/>
          <w:sz w:val="24"/>
          <w:szCs w:val="24"/>
        </w:rPr>
      </w:pPr>
      <w:r>
        <w:rPr>
          <w:rFonts w:ascii="Arial" w:eastAsia="Arial" w:hAnsi="Arial" w:cs="Arial"/>
          <w:b/>
          <w:bCs/>
          <w:color w:val="303030"/>
          <w:sz w:val="24"/>
          <w:szCs w:val="24"/>
          <w:highlight w:val="white"/>
        </w:rPr>
        <w:t>Víctor Francisco Cervantes Franco</w:t>
      </w:r>
      <w:r>
        <w:rPr>
          <w:rFonts w:ascii="Arial" w:eastAsia="Arial" w:hAnsi="Arial" w:cs="Arial"/>
          <w:sz w:val="24"/>
          <w:szCs w:val="24"/>
        </w:rPr>
        <w:t>: No, no, no. ¿O es una factura por mujer? Un expediente por un oficial.</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lastRenderedPageBreak/>
        <w:t xml:space="preserve">Victoria Guadalupe Alvarado Hernández: </w:t>
      </w:r>
      <w:r>
        <w:rPr>
          <w:rFonts w:ascii="Arial" w:eastAsia="Arial" w:hAnsi="Arial" w:cs="Arial"/>
          <w:sz w:val="24"/>
          <w:szCs w:val="24"/>
        </w:rPr>
        <w:t xml:space="preserve">Entonces bien, tendría que tocar la base y solicitar eso. No me las emites en el momento, pero me tienes que emitir una por cada comida.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O bien en el momento. </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 xml:space="preserve">Digo, vamos a tener dos vertientes, la del apoyo y la administrativo. ¿En el periódico?. O sea, no vas a ser tu. No vas a tener que… </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Vamos a tener la parte de la atención prioritaria que son ustedes, los que llevan de la mano a la mujer afectada, y tu parte administrativa. Casi en toda la parte del municipio tenemos parte operativa y parte administrativa. Tú administrativo es quien va a estar encargándose de esa parte.</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Ustedes son la parte de atención a la inmediatez. Espérame aquí, déjame corro con la factura. Para eso hay una administrativa.</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 xml:space="preserve">Tendría que estar junto con el enlace.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A partir de hoy ya, saliendo a buscar. A ver si el padrón de proveedores que está en el sistema del municipio lo detecta.</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Ahí vas a identificar todo lo que existe. De hecho, con la Directora de Adquisiciones, que tal vez ella nos pueda acercar más y decir, tenemos en este giro, en este giro, en este giro, conocemos que esta persona te puede atender de inmediato, nos puede esperar con el pago en cuanto se dan, porque pasa eso. O sea, te puede instruir los servicios y después te facturan.</w:t>
      </w:r>
    </w:p>
    <w:p w:rsidR="00E025E6" w:rsidRDefault="00157320">
      <w:pPr>
        <w:spacing w:line="240" w:lineRule="auto"/>
        <w:jc w:val="both"/>
        <w:rPr>
          <w:rFonts w:ascii="Arial" w:eastAsia="Arial" w:hAnsi="Arial" w:cs="Arial"/>
          <w:sz w:val="24"/>
          <w:szCs w:val="24"/>
        </w:rPr>
      </w:pPr>
      <w:r>
        <w:rPr>
          <w:rFonts w:ascii="Arial" w:eastAsia="Arial" w:hAnsi="Arial" w:cs="Arial"/>
          <w:sz w:val="24"/>
          <w:szCs w:val="24"/>
        </w:rPr>
        <w:t xml:space="preserve">¿Sí me explico?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Nada más recordar que es una factura por servicio. Aunque te junte 30 servicios al mes, te va a dar 30 facturas.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Y ahí ya depende del equipo de Víctor, cómo van a estar en el momento de la atención, o sea, qué tanto nos vamos a juntar con la atención inmediata al trámite administrativo, pero eso ya es en la Coordinación.</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Necesitaríamos hacer un catálogo de lo que suponemos, porque además no es algo que hayamos operado anteriormente, por lo que entiendo, siempre se derivaba en otras Instancias de primer contacto. </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Sí, o al final hacíamos hasta vaquitas y se solucionaba.</w:t>
      </w:r>
    </w:p>
    <w:p w:rsidR="00E025E6" w:rsidRDefault="00157320">
      <w:pPr>
        <w:spacing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Aquí lo que me imagino es, qué es lo que más se necesita en esa situación, es el resguardo, la alimentación, entonces, no sé si hay alguna… Estoy pensando en algún hotel, estancia, algo que brinde alimento y que ahí mismo luego… O sea, que puedan tener incluso artículos de higiene personal, instrumenta básica y todo eso para poderlas atender de forma inmediata y que ellos te facturen en ese momento. </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Como lo estoy visualizando, como para poderlo atender y tiene que ser como una casa de medio camino, en lo privado, que nos pueda facturar para poder atender eso. O sea, a mí me tocó conocer la de CASMEC, del DIF. Sí es CASMEC, ¿no?. Sí, pero es de gobierno, ¿no?. Sí, esa es de gobierno y esa no nos va a facturar y esa tiene sus procesos de atención.</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Esto es como para alguien que no se vaya a internar…</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Sí, pero el problema es que, por ejemplo, tú tienes personas adultas, mayores, que golpean sus hijos. Eso es lo que ya has visto más, ¿no?. Sí. Más recurrente.</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lastRenderedPageBreak/>
        <w:t xml:space="preserve">Coral Chantal Zúñiga Nuño: </w:t>
      </w:r>
      <w:r>
        <w:rPr>
          <w:rFonts w:ascii="Arial" w:eastAsia="Arial" w:hAnsi="Arial" w:cs="Arial"/>
          <w:sz w:val="24"/>
          <w:szCs w:val="24"/>
        </w:rPr>
        <w:t xml:space="preserve">Y adictos, adictos.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Tú ya no las puedes tener ahí, ni tampoco casa de emergencia, a lo mejor tampoco eres candidata. Entonces, quizá tratándose de emergencia puede ser una casa de descanso, que también cumpla con la sensibilidad de darle a un tratamiento médico. O sea, tenemos que encontrar esa solución. Sí.</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Y entonces esa casa de descanso…Imagínate que he visto en mi vida que luego que fui a trabajar y veía Casa Jalisco por ahí, antes de llegar a Casa Jalisco iba caminando. Hay uno a un lado.</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Hay uno a un lado. Ajá. Por ejemplo, tenemos que hablar, a quien sea.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De hablantes ya la ponemos. Que sea por eso lo que se dice. Imaginemos que ya la pagamos.</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O sea, entonces buscarla… O sea, esa plática es la que ustedes tienen que hacer. Pues su Coordinadora desde el inicio tiene que estar en contacto con Víctor. Nada más la plática que es con ellos, de que oiga, oiga, hay posibilidad de que atiendan a una persona en estas condiciones que ha salido de un servicio de emergencia público e ingresando aquí por unos días, mientras buscamos una red de apoyo para ella.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Bueno, en una ocasión con la Maestra Angeles, dije eso. Cuando ella me decía, no, aquí no, entonces dígame dónde sí.</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Porque al final, ¿ustedes quién tienen que resguardar? O sea, ¿sí me explico?, Pues busquemos la solución, porque usted no la puede recibir, pero yo tampoco la tengo por qué tener. Y se queda en las oficinas. </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Ajá.</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Y se queda en las oficinas Y ahí duerme. Ajá.</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Entonces yo me puse a buscar un espacio en el que pudieran atenderlas el fin de semana. Curiosamente es cuando más sucede.</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Claro. </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Oye, si yo te llevo una usuaria, bla, bla, bla, la registramos, pero yo no tengo dónde duerma el fin de semana. Porque al final se pueden resolver otras cosas teniendo dónde la voy a resguardar, ¿no? Ah, sí, ¿y me facturas?,Sí.</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Pero obviamente si ella se quiere ir, se va a ir. Ah, sí. Entonces, en ese tipo de cosas, si yo como Institución ya me estoy haciendo cargo de ella, alguien se tiene que quedar a cuidarla.</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Porque aparte, si yo la llevo a un hotel, alguien tiene que quedarse en el hotel porque tiene que...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Le pedimos a DEAViM, ¿Verdad?. Así como resguardan a la gente.</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Le pedimos a DEAViM. A DEAViM. Sí, sí.</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O sea, lo que estamos buscando realmente... O se incluye en la factura.  O se incluye en la factura. Hasta 10 mil pesos.</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Porque cómo cuadra... Sí. No, es que estoy pensando cómo hacer... Digo, para más o menos tener planteado cuánto, yo sé que todas las situaciones van a ser diferentes y específicas. Pero sí como tener... Si necesitará un psiquiatra, si necesitará el psicólogo, si necesitará... Cuánto nos da. O sea, si nos da una consulta...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lastRenderedPageBreak/>
        <w:t xml:space="preserve">Presidenta Carmen Julia Prudencio González: </w:t>
      </w:r>
      <w:r>
        <w:rPr>
          <w:rFonts w:ascii="Arial" w:eastAsia="Arial" w:hAnsi="Arial" w:cs="Arial"/>
          <w:sz w:val="24"/>
          <w:szCs w:val="24"/>
        </w:rPr>
        <w:t>Sí, pero déjame decirte algo en este tema que dice el resguardo. Ajá. Fíjate bien. O sea, cuando tú... La persona no está detenida. No. Va a formar parte de un programa social.</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Si se quiere irse, va. O sea, yo sé que... O sea, no es toda la responsabilidad. No es una casa de emergencia. Le ofreciste un apoyo. Que es libre, que no te está condicionando. </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Le voy a ofrecer un programa social que consiste en que va a haber este apoyo. ¿Verdad?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Nada más el número. Porque, por ejemplo, dicen hoteles, esto y lo otro. Pusieron unas cifras en la Convocatoria de hasta 60, hasta $10, 000. 00, También cuidar a las niñas. En la convocatoria veíamos que hablaba de 52. Hay que cuidar las cifras.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No, espero que no haya tantas. Con el mundial a lo mejor vamos a tener una persona que no es de aquí, ahí ya no nos vamos a poder apoyar. </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Y también contemplar que se tiene que dispersar, o sea, el fondo que vas a tener, o sea, indudablemente tiene que ver un soporte del otro lado, ¿no?, ¿a quién le vas a dar? Al que se lo des tiene que asegurarse de que le facturen, en todo ese cuarto, o sea, si tienen que tener mucha, mucha comunicación.</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Pues la importancia del crédito, o sea, de horas, o de semanas, o días, para que le puedan hacer la transferencia y nos facturen, porque la idea de que esté inmediato es que lo pueda hacer la transferencia directamente al negocio que nos va a facturar.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Y por eso los aliados. Exacto, por eso los aliados.</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Y nada, no tengo ninguna duda, con esto se hay que sesionar de manera extraordinaria, aunque por los expedientes que tengamos de la vertiente, de esta vertiente.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Mensual o bimestral, dependiendo del número que tenga.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Ya tenemos ahí los expedientes, eso no es de premura, así de…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color w:val="303030"/>
          <w:sz w:val="24"/>
          <w:szCs w:val="24"/>
          <w:highlight w:val="white"/>
        </w:rPr>
        <w:t xml:space="preserve">Víctor Francisco Cervantes Franco: </w:t>
      </w:r>
      <w:r>
        <w:rPr>
          <w:rFonts w:ascii="Arial" w:eastAsia="Arial" w:hAnsi="Arial" w:cs="Arial"/>
          <w:sz w:val="24"/>
          <w:szCs w:val="24"/>
        </w:rPr>
        <w:t xml:space="preserve">Casos culminados, ¿no?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Ajá</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Porque con subsidios, ¿cómo lo agotas? ¿Hay alguna factura que necesitan al municipio?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Como las estancias, sí. Y fíjate, es que las estancias, es un programa social, es de las cuatro mil, pero aunque es un programa indirecto, de todas maneras se factura en el municipio. Y no hay problema, ¿no? Y tú, ¿cómo lo ves aquí? ¿Viste…?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color w:val="303030"/>
          <w:sz w:val="24"/>
          <w:szCs w:val="24"/>
          <w:highlight w:val="white"/>
        </w:rPr>
        <w:t xml:space="preserve">Víctor Francisco Cervantes Franco: </w:t>
      </w:r>
      <w:r>
        <w:rPr>
          <w:rFonts w:ascii="Arial" w:eastAsia="Arial" w:hAnsi="Arial" w:cs="Arial"/>
          <w:sz w:val="24"/>
          <w:szCs w:val="24"/>
        </w:rPr>
        <w:t>Los uniformes y las mochilas también están en cuatro mil, pues se factura.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También, sí, están en cuatro mil y se factura al municipio. Se factura. ¿No es esto improbable?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lastRenderedPageBreak/>
        <w:t xml:space="preserve">María del Carmen Bayardo Solórzano: </w:t>
      </w:r>
      <w:r>
        <w:rPr>
          <w:rFonts w:ascii="Arial" w:eastAsia="Arial" w:hAnsi="Arial" w:cs="Arial"/>
          <w:sz w:val="24"/>
          <w:szCs w:val="24"/>
        </w:rPr>
        <w:t>Las mochilas y eso se factura porque el propio programa contempla que es un apoyo en especie, entonces se hace un proceso de licitación para adquirir el bien y entregar en especie, y se factura al municipio. Pero este es un apoyo económico al beneficiario, o sea, para mí hay una contradicción en las Reglas de Operación, que cuando se diseñaron, no sé cuántos se construyeron, no hubo, o sea, fue como… No se tocó base. Justo, o sea, no hubo una socialización con las áreas involucradas para poder darle el trámite.</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Era importante que viniera Paco porque creo que él fue el que asesoró en algunas cosas al equipo anterior y que pudiéramos darnos así como una línea de cómo lo visualizaron, pero…</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¿Por qué no le marcamos a Paco?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O a lo mejor, no sé si la propuesta de Paco era únicamente para ver cómo lo sacaban, el fondo emergente, revolvente.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No, es que creo que es más, tanto no se encontró la vía, que se detuvo, o sea, que ni siquiera hubo reglas, se pudo ejercer.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Y entonces yo me había quedado, no sé en dónde nos perdimos, en que lo iban a eliminar de reglas, no le íbamos a publicar para no tener esta situación, porque no lo había podido instrumentar, pero entre que tomábamos las posiciones, se publicaron y al mismo tiempo nos generó hoy…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Sí, yo también cuando lo fijaron, cuando yo lo bajara, pero si encontramos una ruta, creo que sería mejor.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Lo habilitamos.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Igual, puede ser que en su momento haya recomendaciones, porque es la primera vez que lo vamos a operar y que lo estamos haciendo así en la mesa, a ver qué es lo mejor, se busca cumplir con la regla que ya está al final de cuentas publicada, pero tal vez nos encontremos con recomendaciones y nada más nos apegamos, digo, esta sí nos toca verla.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Sí, totalmente. Sí, pues nada más hay que ver cómo funciona.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Yo creo que estuvo convocado, a lo mejor sería una opción, marcar, qué opinan, escuchar a ver qué ruta traía él, si empata con lo que ya comentamos aquí o a lo mejor es algo distinto y funciona también.</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No sé qué piensa el resto, pero si ya lo traía en la ruta…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Sí, creo que es el que estaba más empapado del tema, porque con él estuvieron socializando, es lo que tengo entendido, lo estaba de vecina del programa nada más, en el tercer piso.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Sí, lo que sí es interesante y que puede pelotear de fondo las lagunas para en junio, que van a empezar a trabajar en la siguiente, o sea, en el  siguiente ejercicio, poder mapear todo lo que viene.</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Sí, es que aquí no puedo hacer una cosa cuando ya tengo la otra encima.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Por eso decimos que ya vamos tarde. </w:t>
      </w: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lastRenderedPageBreak/>
        <w:br/>
        <w:t xml:space="preserve">Presidenta Carmen Julia Prudencio González: </w:t>
      </w:r>
      <w:r>
        <w:rPr>
          <w:rFonts w:ascii="Arial" w:eastAsia="Arial" w:hAnsi="Arial" w:cs="Arial"/>
          <w:sz w:val="24"/>
          <w:szCs w:val="24"/>
        </w:rPr>
        <w:t xml:space="preserve">Sí. No, pero si nos sale, está bien. Es que en una sesión sacamos otros programas más difíciles. Es que si nos sale, está bien.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Dice Paco que él no tiene idea  y ¿A quién se le ocurrió ponerle factura para el 26?. En las reglas de antes, del beneficio 25, eso decía. Es que sí, tiene que ser lo que haga la mesa. Y aquí también viene el recibo y aparte factura. Vienen los dos.  Ajá, aquí vienen los dos. Dice que se va a modificar, le digo, pero ya no tienen aquí tiempo para ir a comisiones otra vez.</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Es que yo, perdón, me voy a retrotraer, pero yo creo que desde la mesa anterior no se debe haber aprobado hasta luego validar bien esto.</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Y el 25 no lo sacamos porque justamente nos atorábamos que aunque decía recibo, todo el mundo tuvimos la reserva  de decir, pero solo con recibo ¿cómo vamos a sustentar el hecho de un gasto de hospedaje, de pasaje, de todo?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Es que Paco, lo que entiendo es que Paco buscó la forma de que se haga como un fondo emergente, con recibo. O sea, eso es lo que estamos atorando, porque la comprobación se puede dar.</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Ahora, si quisieran mandarlo a comisiones de nuevo, o sea, a revisión del pleno y decir, en primera que no se llame fondo revolvente, que por ejemplo se llamara fondo de apoyo.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Fondo de apoyo, fondo emergente. </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br/>
      </w: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Y ya de ahí, automáticamente con ese nombre lo sacan de  cómo opera las políticas de regreso. Y entonces decir que solamente con un recibo y lo demás que sí llevan con default en el registro. O sea, esa es una opción que se pudiera ir a comisión y que lo revisen y si es factible. Si no, igual nos lo rechazan y nos dicen que no, ni es tiempo, ni es conducente y se da para atrás.</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El no ya no tenemos.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El no ya no tenemos, pero pudiéramos ir por el sí y ya desde el pleno. Entonces, digo, esa es una medida.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Y la otra es sobre la marcha, o sea, qué sucede y qué realmente se requiere y comprometernos a que administrativamente vamos a hacer lo que nos marca las Reglas de Operación.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Pero nos volvemos a apuntar, yo creo que esto nos va a servir como ejercicio, como un piloto. Y se da, se trata, se trata de cumplir con lo estipulado y si no, otra vez nos reunimos y entonces se va a comisiones. No tiene caso que estemos, sí y no, y nos pegan o no nos pegan.</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Es que la opción uno no </w:t>
      </w:r>
    </w:p>
    <w:p w:rsidR="00E025E6" w:rsidRDefault="00E025E6">
      <w:pPr>
        <w:spacing w:after="0" w:line="240" w:lineRule="auto"/>
        <w:jc w:val="both"/>
        <w:rPr>
          <w:rFonts w:ascii="Arial" w:eastAsia="Arial" w:hAnsi="Arial" w:cs="Arial"/>
          <w:sz w:val="24"/>
          <w:szCs w:val="24"/>
        </w:rPr>
      </w:pP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Podemos hacer las dos cosas. Sí salir con este, con el fondo y meterlo también a comisiones. Así cumples con la regla, pero no te limita a hacer la supervisión.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No, pues allá apostarías a ampliar el apartado 8 de comprobación.</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Exactamente. </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Yo otorgo el beneficio y la iniciativa que estoy sometiendo a ajuste. ¿Con esa justificación se puede?. Es una ampliación, no modificar, sino ampliar.  La comprobación. </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Y justo eso es lo que voy a decir, que lo meteremos por comité, pero que no va. Entonces tenemos que meterlo a comisiones para cambiar el fondo que no sea revolvente para evitar que sea contable. Y que sea la ampliación de recibo de comprobación.</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Pero al final del día pues es como mantenernos a buscar las facturas. Siempre hay alguien dispuesto a facturarte. Y el que pide la buena voluntad o te factura, o te ayuda, o te da crédito, o te da que ver cómo lo haces.</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Entonces, apelar a que lo podamos recibir. Y conforme vayamos viendo, no queda claro que ninguna de las que estamos aquí hemos estado, o sea, si atienden a las personas y si les dan esa asesoría como quiera, pero no ese seguimiento de contacto en la primera situación. A mí es más porque lo que comentó la Coordinadora en las sesiones anteriores, ella me tiene personal para hacer los ayuntamientos personales. Y entonces, es más bien si siento que al momento de que recibamos a las mujeres...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Es que no sé.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Puedes irte aquí y refugiarte. O puedes irte aquí y </w:t>
      </w:r>
      <w:r w:rsidR="006A0553">
        <w:rPr>
          <w:rFonts w:ascii="Arial" w:eastAsia="Arial" w:hAnsi="Arial" w:cs="Arial"/>
          <w:sz w:val="24"/>
          <w:szCs w:val="24"/>
        </w:rPr>
        <w:t>analízate</w:t>
      </w:r>
      <w:r>
        <w:rPr>
          <w:rFonts w:ascii="Arial" w:eastAsia="Arial" w:hAnsi="Arial" w:cs="Arial"/>
          <w:sz w:val="24"/>
          <w:szCs w:val="24"/>
        </w:rPr>
        <w:t>. O puedes irte aquí. Está bien. Si eso es lo que supone el programa... Sí, acá ya dijo que no. ¿Qué? Yo creo que está bien. O sea, si es el seguimiento del programa, entonces nos ajustamos y le damos permiso a esto. A ver.</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Tengo unos expedientes, ¿no?. No tengo ninguno de los expedientes. A ver, vamos a ver. Tengo los que vengan.</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Vamos a ver qué situación. Como el año pasado sí teníamos como tres preguntas en el ojo. ¿Este entra o este no entra? Es que no te contestaba nadie, pero te preguntaba.</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Coral Chantal Zúñiga Nuño</w:t>
      </w:r>
      <w:r>
        <w:rPr>
          <w:rFonts w:ascii="Arial" w:eastAsia="Arial" w:hAnsi="Arial" w:cs="Arial"/>
          <w:sz w:val="24"/>
          <w:szCs w:val="24"/>
        </w:rPr>
        <w:t xml:space="preserve">: Yo siempre auxilio. </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Nadie te contestaba.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Pero era ese justo, el de psiquiatra. Ah, exacto. Aquí que me puse, a ver, tiene que haber un psiquiatra que facture. Y con ese psiquiatra, porque al final muchas de ellas, la emergencia es que ya están mal y no tienen la solvencia para comprar el medicamento.</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¿Sí me explico?. Pero necesitamos que tenga una receta médica. Ah, bueno, me acuerdo que cuando traje como diez psiquiatras, uno nada más facturaba. Y dije, bien. Y ya con eso, si yo les facturo, va. Entonces los medicamentos, pues no hay problema. Vas y te les surtes la receta y no hay problema.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Y el medicamento controlado. Ajá, el medicamento controlado, la psiquiatría, todo, todo el medicamento. Incluso habíamos dicho, ok, si no tenemos un psiquiatra, le llevamos a Salme.</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Yo hablé con Salme. A ver Salme, oye Salme, te voy a mandar, me des la receta y yo le compro, porque no encontraba psiquiatra, eso me había complicado mucho, pero sí encontré uno. Pero Salme también dijo, ah bien, sin problema. Pero Salme no las atiende generalmente.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 xml:space="preserve">O por ejemplo, para el tema </w:t>
      </w:r>
      <w:r w:rsidR="006A0553">
        <w:rPr>
          <w:rFonts w:ascii="Arial" w:eastAsia="Arial" w:hAnsi="Arial" w:cs="Arial"/>
          <w:sz w:val="24"/>
          <w:szCs w:val="24"/>
        </w:rPr>
        <w:t>del</w:t>
      </w:r>
      <w:r>
        <w:rPr>
          <w:rFonts w:ascii="Arial" w:eastAsia="Arial" w:hAnsi="Arial" w:cs="Arial"/>
          <w:sz w:val="24"/>
          <w:szCs w:val="24"/>
        </w:rPr>
        <w:t xml:space="preserve"> resguardo para la atención. Es una emergencia, pero cuestiones van a, o sea, no sé si es un arma, pero por ejemplo, esa Institución que se factura.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No, no, o sea, como dices, que necesita una… Porque hay atención psiquiátrica. Hay atención psiquiátrica. Sí, y ya era lo más alarmante que estaba llegando el año pasado y de mujeres en la tercera edad, que los hijos los golpean y…</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Pero ahí, todas las mujeres violentadas por sus hijos. El apoyo es de 10 mil hasta 10 mil pesos, o sea, no parece que una semana que el hijo agarra un paquete y los está violentando, está bien para solucionarlo de forma inmediata, pero no es una solución más sustantiva a los que se les atreve.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 xml:space="preserve">El gran problema que tenemos en esos casos es que ellas no quieren negocio.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En ese caso, dice que es, bueno, lo valoramos. Si es una violación, si no es una violencia, pero sabes que la mujer está violentada por su hijo, por eso la otra mujer pierde, siendo no una violencia, pero que tú sabes.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Sí, pero son casos, digo, perdón, ya no voy a meter más. Sí, sí. La casa es de la señora. El hijo le está violentando. Le vamos a tener ahora a la señora  y el hijo se lo va a quitar.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Ah, pero es que justo también nos damos a la cadena de verificar que incluso ella ya no esté ahí, porque por supuesto que incluso con el agresor, porque sería como un término que escuché por ahí financiando la violencia, ¿no?. Sino que también nos vamos a percatar de que ella no esté con el agresor. Si se lo da o no, eso yo ya lo escucharía.</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Pero si es casa de ella, o sea, y ella no se va a ir de ahí para sacar al hijo, necesitamos intervenir.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La mujer no se da cuenta de que le pedimos una red de apoyo. Tiene su red de apoyo y que le puede ayudar a cobrar incluso, ir a sacar su dinero, pero el tema del proceso de él, de que lo puedan sacar, pues ya es complicado.</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O sea, digo, es un tema que no...</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Bueno, sí, eso es muy complejo. Muy..</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Las veo con cara de preocupación. </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Se está poniendo como todas las posibilidades, le decía Victoria, en el punto que te dice que es factura, si nos vamos a que solamente sea público en general, te limita mucho, porque tendrías que encontrar solamente aquellos que te facturen en esa modalidad. </w:t>
      </w:r>
    </w:p>
    <w:p w:rsidR="00E025E6" w:rsidRDefault="00E025E6">
      <w:pPr>
        <w:spacing w:after="0" w:line="240" w:lineRule="auto"/>
        <w:jc w:val="both"/>
        <w:rPr>
          <w:rFonts w:ascii="Arial" w:eastAsia="Arial" w:hAnsi="Arial" w:cs="Arial"/>
          <w:b/>
          <w:bCs/>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Bueno, las Reglas de Operación financiera dicen factura. No nos limitamos más. Factura. A quien sea. A público en general, al municipio, a nombre de la beneficiaria, a quien sea. Incluso a Victor. No, no es cierto. A la Coordinación de Combate a la Desigualdad de acciones en el municipio. Exactamente.</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Si lo facturamos, cambia. Si lo limitamos, o más bien, se facturará a nombre del municipio, este programa es específico y único. O sea, no se parece a ninguna de las otras vertientes de los programas.</w:t>
      </w: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Sin embargo, aún aquellos que se dan indirectamente,  todo sale facturado a nombre del municipio, aunque está dentro de la partida 4000. Sea como sea su vertiente o su concepto, indirecto te sale a nombre del municipio. Entonces ya tienes de ejemplo y de muchos años esa operación.</w:t>
      </w:r>
    </w:p>
    <w:p w:rsidR="00E025E6" w:rsidRDefault="00E025E6">
      <w:pPr>
        <w:spacing w:after="0" w:line="240" w:lineRule="auto"/>
        <w:jc w:val="both"/>
        <w:rPr>
          <w:rFonts w:ascii="Arial" w:eastAsia="Arial" w:hAnsi="Arial" w:cs="Arial"/>
          <w:sz w:val="24"/>
          <w:szCs w:val="24"/>
        </w:rPr>
      </w:pPr>
    </w:p>
    <w:p w:rsidR="00E025E6" w:rsidRDefault="00157320">
      <w:pPr>
        <w:spacing w:after="0" w:line="240" w:lineRule="auto"/>
        <w:jc w:val="both"/>
        <w:rPr>
          <w:rFonts w:ascii="Arial" w:eastAsia="Arial" w:hAnsi="Arial" w:cs="Arial"/>
          <w:sz w:val="24"/>
          <w:szCs w:val="24"/>
        </w:rPr>
      </w:pPr>
      <w:r>
        <w:rPr>
          <w:rFonts w:ascii="Arial" w:eastAsia="Arial" w:hAnsi="Arial" w:cs="Arial"/>
          <w:sz w:val="24"/>
          <w:szCs w:val="24"/>
        </w:rPr>
        <w:t>Entonces, podemos presentar las facturas a nombre del municipio, sale la convocatoria, facturamos a nombre del municipio, pero en el mismo momento lo podemos hacer la revisión y si hay que hacerlo, como ustedes comentan, con las comisiones. Y si no lo rebotan, ya como decía la Coordinadora, tenemos un no. Pero en cualquier observación o recomendación de la auditoría, tenemos esa de decir, aunque nosotros nos encontramos así las reglas, las tratamos de operar o las operamos bajo el esquema donde te dice factura que no te dice a nombre de quién.</w:t>
      </w:r>
    </w:p>
    <w:p w:rsidR="00E025E6" w:rsidRDefault="00E025E6">
      <w:pP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Entonces, para nosotros lo más claro es a nombre del municipio. Y también tenemos el mecanismo de que se sometió a revisión de la comisión. Si lo logramos, si se logra llevar al pleno y cambiamos, se cambia, pues ya se opera en la otra modalidad y si no, nos quedamos así, en el interno vamos viendo cómo se desarrolla en la práctica, porque lo que le decía Víctor es un programa nuevo, nadie lo opera, no existe o no existía, es la primera vez y pues nos vamos a adentrar a la operación y lo que resulte todo que sea en favor del apoyo de las autoridades. </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Sí, comparto tu primer día, además si ya es, o sea, no es esta discusión que haya factura o no, o sea yo la vez pasada no tenía, no había leído las Reglas de Operación en ese sentido de la comprobación o sea, de cómo se tenía que hacer. No tenemos, o sea, no tenemos ya margen para que no haya factura, entonces pues ya tiene que ser  factura y si lo ya dice a nombre del municipio pues mejor a nombre del municipio todos facturan a nombre del municipio y no todos a nombre del público en general.</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Exacto, nos vamos todos por municipio y si dicen ah está mal, pues qué mejor que amarrarnos a nombre del municipio, el recurso no está perdido o está comprobado y tratamos solamente de hacer operativo a la atención inmediata de una mujer en esas circunstancias Si hay que cambiar  se cambia y si no, ya la parte de si quieren y lo ven viable ir a comisiones, ya eso es con acuerdo de todos.</w:t>
      </w:r>
    </w:p>
    <w:p w:rsidR="00E025E6" w:rsidRDefault="00E025E6">
      <w:pPr>
        <w:pBdr>
          <w:top w:val="nil"/>
          <w:left w:val="nil"/>
          <w:bottom w:val="nil"/>
          <w:right w:val="nil"/>
          <w:between w:val="nil"/>
        </w:pBdr>
        <w:spacing w:after="0" w:line="240" w:lineRule="auto"/>
        <w:jc w:val="both"/>
        <w:rPr>
          <w:rFonts w:ascii="Arial" w:eastAsia="Arial" w:hAnsi="Arial" w:cs="Arial"/>
          <w:b/>
          <w:bCs/>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color w:val="303030"/>
          <w:sz w:val="24"/>
          <w:szCs w:val="24"/>
          <w:highlight w:val="white"/>
        </w:rPr>
        <w:t>Víctor Francisco Cervantes Franco</w:t>
      </w:r>
      <w:r>
        <w:rPr>
          <w:rFonts w:ascii="Arial" w:eastAsia="Arial" w:hAnsi="Arial" w:cs="Arial"/>
          <w:sz w:val="24"/>
          <w:szCs w:val="24"/>
        </w:rPr>
        <w:t xml:space="preserve">: Si es parte de esa definición, nombre del municipio y listo </w:t>
      </w:r>
    </w:p>
    <w:p w:rsidR="00E025E6" w:rsidRDefault="00E025E6">
      <w:pPr>
        <w:pBdr>
          <w:top w:val="nil"/>
          <w:left w:val="nil"/>
          <w:bottom w:val="nil"/>
          <w:right w:val="nil"/>
          <w:between w:val="nil"/>
        </w:pBdr>
        <w:spacing w:after="0" w:line="240" w:lineRule="auto"/>
        <w:jc w:val="both"/>
        <w:rPr>
          <w:rFonts w:ascii="Arial" w:eastAsia="Arial" w:hAnsi="Arial" w:cs="Arial"/>
          <w:b/>
          <w:bCs/>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 xml:space="preserve">Nombre del municipio </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Ok, entonces si tenemos un caso lo presentamos así con el expediente hacemos el procedimiento y ya lo valoramos con este ya valoramos solicitar el cambio. Entonces en conclusión acordamos que las facturas en el nombre del municipio ese es el primer acuerdo, el segundo que podamos meter un expediente completo y que nos puedan hacer las observaciones y tercero si vemos que lo rebotan) pues ya hacemos los cambios y lo mandamos y si no existieron los tiempos para que la comisión lo valore o etcétera pues también que sea un referente porque se va a quedar en su ejercicio.</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Si, no, porque se puede mover al otro a otra vertiente. Sí se puede y entonces ya no lo dejamos en su ejercicio, lo atendemos desde la otra vertiente que creo que es mucho más fácil de operar y mucho más benéfica para las beneficiarias se lo entiendo de un fondo de emergencia para una situación en la que no haya alternativa más que repartir todo lo que hemos dicho que puede necesitar en ese momento pero creo que a todos les conviene más que no limita el uno del otro </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Los tiempos pues, los tiempos los tiempos que lo requieren Son 520, ¿verdad? Igual que 2 mujeres.</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 xml:space="preserve">¿Y cuáles serían esos tiempos?, Pensar en que vamos a hacer este ejercicio a ver </w:t>
      </w:r>
      <w:r w:rsidR="006A0553">
        <w:rPr>
          <w:rFonts w:ascii="Arial" w:eastAsia="Arial" w:hAnsi="Arial" w:cs="Arial"/>
          <w:sz w:val="24"/>
          <w:szCs w:val="24"/>
        </w:rPr>
        <w:t>cómo</w:t>
      </w:r>
      <w:r>
        <w:rPr>
          <w:rFonts w:ascii="Arial" w:eastAsia="Arial" w:hAnsi="Arial" w:cs="Arial"/>
          <w:sz w:val="24"/>
          <w:szCs w:val="24"/>
        </w:rPr>
        <w:t xml:space="preserve"> funciona pero justo lo que no se quiere es poder caer en su ejercicio porque se puede pensar que no se necesita pero si se necesita es hasta cuándo podríamos hacer sabes que ya nos quedan 700 mil pesos y estamos en octubre.</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Yo me gustaría que fuera antes porque son cuatro dispersiones es el problema, son cuatro dispersiones el hecho de cambiar tampoco está tan fácil porque ustedes tendrían que solicitar armar los expedientes para que tuvieran sus dispersiones a diciembre  que no queremos que suceda que en enero estemos.</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Entonces en julio hacemos un corte, en agosto hacemos la transferencia de recursos y en agosto tienes que estar entregando los expedientes integrados para que sea agosto, septiembre, octubre, noviembre, diciembre las dispersiones ¿Sí?.</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En julio hacemos un corte y ahí vemos cuánto dinero nos quedó, para cuántas mujeres nos alcanzaría para hacer las cuatro dispersiones de 10 mil pesos.) </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Que de aquí a julio tendríamos las redundancias, no la primera.</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No, eso es justo, dejar abierto el fondo de aquí a julio para ver qué tanta incidencia tenemos para, ya pasó el </w:t>
      </w:r>
      <w:r w:rsidR="006A0553">
        <w:rPr>
          <w:rFonts w:ascii="Arial" w:eastAsia="Arial" w:hAnsi="Arial" w:cs="Arial"/>
          <w:sz w:val="24"/>
          <w:szCs w:val="24"/>
        </w:rPr>
        <w:t>mundial, ya</w:t>
      </w:r>
      <w:r>
        <w:rPr>
          <w:rFonts w:ascii="Arial" w:eastAsia="Arial" w:hAnsi="Arial" w:cs="Arial"/>
          <w:sz w:val="24"/>
          <w:szCs w:val="24"/>
        </w:rPr>
        <w:t xml:space="preserve"> pasó así como y ya vemos que tanto requerimos y si tuvimos una incidencia alta) de una a la semana, dejamos lo suficiente para seguirle atendiendo y solamente hacemos la transferencia del fondo que sabemos que no nos va a llegar. Así como yo les digo, nos fumamos la pipa de la paz para no ser otra vez y hacemos una proyección estadística de lo que nos vaya a sobrar.</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Y a la par, revisar todas las lagunas para que se sienten y trabajan las Reglas de Operación. Porque si no, van a estar en el 19.</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Sí, las lagunas y todas las áreas de oportunidad para poder darle la flexibilidad y operación oportuna y ágil y segura para todos, para las mujeres y para nosotras, que también somos mujeres. Y me siento violentada ante tanta restricción. Yo te voy a pedir mi diagnóstico psiquiátrico, después de la situación de aquí  voy a… </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Muy bien, les pregunto si hay que aprobarse todo este proceso que acabamos de decir. </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APROBADO POR UNANIMIDAD</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Bueno, gracias. Una vez desahogados todos los temas pasamos a los puntos de valor del día para los que se nos convocó, pasamos al cuarto punto que es cláusula de la sesión</w:t>
      </w:r>
    </w:p>
    <w:p w:rsidR="00E025E6" w:rsidRDefault="00E025E6">
      <w:pPr>
        <w:pBdr>
          <w:top w:val="nil"/>
          <w:left w:val="nil"/>
          <w:bottom w:val="nil"/>
          <w:right w:val="nil"/>
          <w:between w:val="nil"/>
        </w:pBdr>
        <w:spacing w:after="0" w:line="240" w:lineRule="auto"/>
        <w:jc w:val="both"/>
        <w:rPr>
          <w:rFonts w:ascii="Arial" w:eastAsia="Arial" w:hAnsi="Arial" w:cs="Arial"/>
          <w:sz w:val="24"/>
          <w:szCs w:val="24"/>
        </w:rPr>
      </w:pPr>
    </w:p>
    <w:p w:rsidR="00E025E6" w:rsidRDefault="00157320">
      <w:pPr>
        <w:pBdr>
          <w:top w:val="nil"/>
          <w:left w:val="nil"/>
          <w:bottom w:val="nil"/>
          <w:right w:val="nil"/>
          <w:between w:val="nil"/>
        </w:pBdr>
        <w:spacing w:after="0" w:line="240" w:lineRule="auto"/>
        <w:jc w:val="both"/>
        <w:rPr>
          <w:rFonts w:ascii="Arial" w:eastAsia="Arial" w:hAnsi="Arial" w:cs="Arial"/>
          <w:b/>
          <w:bCs/>
          <w:sz w:val="24"/>
          <w:szCs w:val="24"/>
        </w:rPr>
      </w:pPr>
      <w:r>
        <w:rPr>
          <w:rFonts w:ascii="Arial" w:eastAsia="Arial" w:hAnsi="Arial" w:cs="Arial"/>
          <w:b/>
          <w:bCs/>
          <w:sz w:val="24"/>
          <w:szCs w:val="24"/>
        </w:rPr>
        <w:t>CUARTO PUNTO.- Clausura</w:t>
      </w:r>
    </w:p>
    <w:p w:rsidR="00E025E6" w:rsidRDefault="0015732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br/>
        <w:t xml:space="preserve">Siendo la 01 con 17 minutos del día 27 de abril se declara </w:t>
      </w:r>
      <w:r w:rsidR="006A0553">
        <w:rPr>
          <w:rFonts w:ascii="Arial" w:eastAsia="Arial" w:hAnsi="Arial" w:cs="Arial"/>
          <w:sz w:val="24"/>
          <w:szCs w:val="24"/>
        </w:rPr>
        <w:t>la clausura</w:t>
      </w:r>
      <w:r>
        <w:rPr>
          <w:rFonts w:ascii="Arial" w:eastAsia="Arial" w:hAnsi="Arial" w:cs="Arial"/>
          <w:sz w:val="24"/>
          <w:szCs w:val="24"/>
        </w:rPr>
        <w:t xml:space="preserve"> de la primera sesión extraordinaria del Comité Determinador del Programa Guadalajara para la Mujer 2026.</w:t>
      </w:r>
      <w:r>
        <w:rPr>
          <w:rFonts w:ascii="Arial" w:eastAsia="Arial" w:hAnsi="Arial" w:cs="Arial"/>
          <w:sz w:val="24"/>
          <w:szCs w:val="24"/>
        </w:rPr>
        <w:br/>
        <w:t xml:space="preserve">Muchísimas gracias por todo. </w:t>
      </w:r>
    </w:p>
    <w:p w:rsidR="00E025E6" w:rsidRDefault="00E025E6">
      <w:pPr>
        <w:pBdr>
          <w:top w:val="nil"/>
          <w:left w:val="nil"/>
          <w:bottom w:val="nil"/>
          <w:right w:val="nil"/>
          <w:between w:val="nil"/>
        </w:pBdr>
        <w:spacing w:after="0" w:line="240" w:lineRule="auto"/>
        <w:ind w:left="141"/>
        <w:jc w:val="both"/>
        <w:rPr>
          <w:rFonts w:ascii="Arial" w:eastAsia="Arial" w:hAnsi="Arial" w:cs="Arial"/>
          <w:b/>
          <w:bCs/>
          <w:sz w:val="24"/>
          <w:szCs w:val="24"/>
        </w:rPr>
      </w:pPr>
    </w:p>
    <w:p w:rsidR="00E025E6" w:rsidRDefault="00157320">
      <w:pPr>
        <w:pBdr>
          <w:top w:val="nil"/>
          <w:left w:val="nil"/>
          <w:bottom w:val="nil"/>
          <w:right w:val="nil"/>
          <w:between w:val="nil"/>
        </w:pBdr>
        <w:spacing w:after="0" w:line="240" w:lineRule="auto"/>
        <w:ind w:left="141"/>
        <w:jc w:val="center"/>
        <w:rPr>
          <w:rFonts w:ascii="Arial" w:eastAsia="Arial" w:hAnsi="Arial" w:cs="Arial"/>
          <w:b/>
          <w:bCs/>
          <w:color w:val="000000"/>
          <w:sz w:val="24"/>
          <w:szCs w:val="24"/>
        </w:rPr>
      </w:pPr>
      <w:r>
        <w:rPr>
          <w:rFonts w:ascii="Arial" w:eastAsia="Arial" w:hAnsi="Arial" w:cs="Arial"/>
          <w:b/>
          <w:bCs/>
          <w:sz w:val="24"/>
          <w:szCs w:val="24"/>
        </w:rPr>
        <w:t>CONSTE</w:t>
      </w:r>
    </w:p>
    <w:p w:rsidR="00E025E6" w:rsidRDefault="00E025E6">
      <w:pPr>
        <w:pBdr>
          <w:top w:val="nil"/>
          <w:left w:val="nil"/>
          <w:bottom w:val="nil"/>
          <w:right w:val="nil"/>
          <w:between w:val="nil"/>
        </w:pBdr>
        <w:spacing w:after="0" w:line="240" w:lineRule="auto"/>
        <w:ind w:left="705"/>
        <w:jc w:val="both"/>
        <w:rPr>
          <w:rFonts w:ascii="Arial" w:eastAsia="Arial" w:hAnsi="Arial" w:cs="Arial"/>
          <w:b/>
          <w:bCs/>
          <w:color w:val="000000"/>
          <w:sz w:val="24"/>
          <w:szCs w:val="24"/>
        </w:rPr>
      </w:pPr>
    </w:p>
    <w:p w:rsidR="00DA0A1F" w:rsidRDefault="00DA0A1F">
      <w:pPr>
        <w:pBdr>
          <w:top w:val="nil"/>
          <w:left w:val="nil"/>
          <w:bottom w:val="nil"/>
          <w:right w:val="nil"/>
          <w:between w:val="nil"/>
        </w:pBdr>
        <w:spacing w:after="0"/>
        <w:jc w:val="center"/>
        <w:rPr>
          <w:rFonts w:ascii="Arial" w:eastAsia="Arial" w:hAnsi="Arial" w:cs="Arial"/>
          <w:b/>
          <w:bCs/>
          <w:color w:val="000000"/>
          <w:sz w:val="24"/>
          <w:szCs w:val="24"/>
        </w:rPr>
      </w:pPr>
    </w:p>
    <w:p w:rsidR="00DA0A1F" w:rsidRDefault="00DA0A1F">
      <w:pPr>
        <w:pBdr>
          <w:top w:val="nil"/>
          <w:left w:val="nil"/>
          <w:bottom w:val="nil"/>
          <w:right w:val="nil"/>
          <w:between w:val="nil"/>
        </w:pBdr>
        <w:spacing w:after="0"/>
        <w:jc w:val="center"/>
        <w:rPr>
          <w:rFonts w:ascii="Arial" w:eastAsia="Arial" w:hAnsi="Arial" w:cs="Arial"/>
          <w:b/>
          <w:bCs/>
          <w:color w:val="000000"/>
          <w:sz w:val="24"/>
          <w:szCs w:val="24"/>
        </w:rPr>
      </w:pPr>
    </w:p>
    <w:p w:rsidR="00DA0A1F" w:rsidRDefault="00DA0A1F">
      <w:pPr>
        <w:pBdr>
          <w:top w:val="nil"/>
          <w:left w:val="nil"/>
          <w:bottom w:val="nil"/>
          <w:right w:val="nil"/>
          <w:between w:val="nil"/>
        </w:pBdr>
        <w:spacing w:after="0"/>
        <w:jc w:val="center"/>
        <w:rPr>
          <w:rFonts w:ascii="Arial" w:eastAsia="Arial" w:hAnsi="Arial" w:cs="Arial"/>
          <w:b/>
          <w:bCs/>
          <w:color w:val="000000"/>
          <w:sz w:val="24"/>
          <w:szCs w:val="24"/>
        </w:rPr>
      </w:pPr>
    </w:p>
    <w:p w:rsidR="00E025E6" w:rsidRDefault="00157320">
      <w:pPr>
        <w:pBdr>
          <w:top w:val="nil"/>
          <w:left w:val="nil"/>
          <w:bottom w:val="nil"/>
          <w:right w:val="nil"/>
          <w:between w:val="nil"/>
        </w:pBdr>
        <w:spacing w:after="0"/>
        <w:jc w:val="center"/>
        <w:rPr>
          <w:rFonts w:ascii="Arial" w:eastAsia="Arial" w:hAnsi="Arial" w:cs="Arial"/>
          <w:b/>
          <w:bCs/>
          <w:color w:val="000000"/>
          <w:sz w:val="24"/>
          <w:szCs w:val="24"/>
        </w:rPr>
      </w:pPr>
      <w:r>
        <w:rPr>
          <w:rFonts w:ascii="Arial" w:eastAsia="Arial" w:hAnsi="Arial" w:cs="Arial"/>
          <w:b/>
          <w:bCs/>
          <w:color w:val="000000"/>
          <w:sz w:val="24"/>
          <w:szCs w:val="24"/>
        </w:rPr>
        <w:t xml:space="preserve"> L</w:t>
      </w:r>
      <w:r w:rsidR="00DA0A1F">
        <w:rPr>
          <w:rFonts w:ascii="Arial" w:eastAsia="Arial" w:hAnsi="Arial" w:cs="Arial"/>
          <w:b/>
          <w:bCs/>
          <w:color w:val="000000"/>
          <w:sz w:val="24"/>
          <w:szCs w:val="24"/>
        </w:rPr>
        <w:t>i</w:t>
      </w:r>
      <w:r>
        <w:rPr>
          <w:rFonts w:ascii="Arial" w:eastAsia="Arial" w:hAnsi="Arial" w:cs="Arial"/>
          <w:b/>
          <w:bCs/>
          <w:color w:val="000000"/>
          <w:sz w:val="24"/>
          <w:szCs w:val="24"/>
        </w:rPr>
        <w:t xml:space="preserve">cda. Carmen Julia Prudencio </w:t>
      </w:r>
      <w:r>
        <w:rPr>
          <w:rFonts w:ascii="Arial" w:eastAsia="Arial" w:hAnsi="Arial" w:cs="Arial"/>
          <w:b/>
          <w:bCs/>
          <w:sz w:val="24"/>
          <w:szCs w:val="24"/>
        </w:rPr>
        <w:t>González</w:t>
      </w:r>
    </w:p>
    <w:p w:rsidR="00E025E6" w:rsidRDefault="0015732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 xml:space="preserve">Coordinadora General de Combate a la Desigualdad </w:t>
      </w:r>
      <w:r>
        <w:rPr>
          <w:rFonts w:ascii="Arial" w:eastAsia="Arial" w:hAnsi="Arial" w:cs="Arial"/>
          <w:color w:val="000000"/>
          <w:sz w:val="24"/>
          <w:szCs w:val="24"/>
        </w:rPr>
        <w:br/>
        <w:t xml:space="preserve">Presidente del Comité Dictaminador del Programa Social: </w:t>
      </w:r>
      <w:r>
        <w:rPr>
          <w:rFonts w:ascii="Arial" w:eastAsia="Arial" w:hAnsi="Arial" w:cs="Arial"/>
          <w:color w:val="000000"/>
          <w:sz w:val="24"/>
          <w:szCs w:val="24"/>
        </w:rPr>
        <w:br/>
        <w:t>Guadalajara Cuida a las Mujeres</w:t>
      </w:r>
    </w:p>
    <w:p w:rsidR="00E025E6" w:rsidRDefault="00E025E6">
      <w:pPr>
        <w:pBdr>
          <w:top w:val="nil"/>
          <w:left w:val="nil"/>
          <w:bottom w:val="nil"/>
          <w:right w:val="nil"/>
          <w:between w:val="nil"/>
        </w:pBdr>
        <w:jc w:val="center"/>
        <w:rPr>
          <w:rFonts w:ascii="Arial" w:eastAsia="Arial" w:hAnsi="Arial" w:cs="Arial"/>
          <w:b/>
          <w:bCs/>
          <w:sz w:val="24"/>
          <w:szCs w:val="24"/>
        </w:rPr>
      </w:pPr>
    </w:p>
    <w:p w:rsidR="00DA0A1F" w:rsidRDefault="00DA0A1F">
      <w:pPr>
        <w:pBdr>
          <w:top w:val="nil"/>
          <w:left w:val="nil"/>
          <w:bottom w:val="nil"/>
          <w:right w:val="nil"/>
          <w:between w:val="nil"/>
        </w:pBdr>
        <w:jc w:val="center"/>
        <w:rPr>
          <w:rFonts w:ascii="Arial" w:eastAsia="Arial" w:hAnsi="Arial" w:cs="Arial"/>
          <w:b/>
          <w:bCs/>
          <w:sz w:val="24"/>
          <w:szCs w:val="24"/>
        </w:rPr>
      </w:pPr>
    </w:p>
    <w:p w:rsidR="00E025E6" w:rsidRDefault="0015732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sz w:val="24"/>
          <w:szCs w:val="24"/>
        </w:rPr>
        <w:t>L</w:t>
      </w:r>
      <w:r w:rsidR="00DA0A1F">
        <w:rPr>
          <w:rFonts w:ascii="Arial" w:eastAsia="Arial" w:hAnsi="Arial" w:cs="Arial"/>
          <w:b/>
          <w:bCs/>
          <w:sz w:val="24"/>
          <w:szCs w:val="24"/>
        </w:rPr>
        <w:t>i</w:t>
      </w:r>
      <w:r>
        <w:rPr>
          <w:rFonts w:ascii="Arial" w:eastAsia="Arial" w:hAnsi="Arial" w:cs="Arial"/>
          <w:b/>
          <w:bCs/>
          <w:sz w:val="24"/>
          <w:szCs w:val="24"/>
        </w:rPr>
        <w:t>cda.</w:t>
      </w:r>
      <w:r>
        <w:rPr>
          <w:rFonts w:ascii="Arial" w:eastAsia="Arial" w:hAnsi="Arial" w:cs="Arial"/>
          <w:b/>
          <w:bCs/>
          <w:color w:val="000000"/>
          <w:sz w:val="24"/>
          <w:szCs w:val="24"/>
        </w:rPr>
        <w:t xml:space="preserve"> María del Carmen Bayardo Solórzano</w:t>
      </w:r>
      <w:r>
        <w:rPr>
          <w:rFonts w:ascii="Arial" w:eastAsia="Arial" w:hAnsi="Arial" w:cs="Arial"/>
          <w:b/>
          <w:bCs/>
          <w:color w:val="000000"/>
          <w:sz w:val="24"/>
          <w:szCs w:val="24"/>
        </w:rPr>
        <w:br/>
      </w:r>
      <w:r>
        <w:rPr>
          <w:rFonts w:ascii="Arial" w:eastAsia="Arial" w:hAnsi="Arial" w:cs="Arial"/>
          <w:color w:val="000000"/>
          <w:sz w:val="24"/>
          <w:szCs w:val="24"/>
        </w:rPr>
        <w:t>Directora de Programas Sociales Municipales</w:t>
      </w:r>
    </w:p>
    <w:p w:rsidR="00DA0A1F" w:rsidRDefault="00DA0A1F">
      <w:pPr>
        <w:pBdr>
          <w:top w:val="nil"/>
          <w:left w:val="nil"/>
          <w:bottom w:val="nil"/>
          <w:right w:val="nil"/>
          <w:between w:val="nil"/>
        </w:pBdr>
        <w:jc w:val="center"/>
        <w:rPr>
          <w:rFonts w:ascii="Arial" w:eastAsia="Arial" w:hAnsi="Arial" w:cs="Arial"/>
          <w:color w:val="000000"/>
          <w:sz w:val="24"/>
          <w:szCs w:val="24"/>
        </w:rPr>
      </w:pPr>
    </w:p>
    <w:p w:rsidR="00DA0A1F" w:rsidRDefault="00DA0A1F">
      <w:pPr>
        <w:pBdr>
          <w:top w:val="nil"/>
          <w:left w:val="nil"/>
          <w:bottom w:val="nil"/>
          <w:right w:val="nil"/>
          <w:between w:val="nil"/>
        </w:pBdr>
        <w:jc w:val="center"/>
        <w:rPr>
          <w:rFonts w:ascii="Arial" w:eastAsia="Arial" w:hAnsi="Arial" w:cs="Arial"/>
          <w:color w:val="000000"/>
          <w:sz w:val="24"/>
          <w:szCs w:val="24"/>
        </w:rPr>
      </w:pPr>
    </w:p>
    <w:p w:rsidR="00E025E6" w:rsidRDefault="00157320">
      <w:pPr>
        <w:pBdr>
          <w:top w:val="nil"/>
          <w:left w:val="nil"/>
          <w:bottom w:val="nil"/>
          <w:right w:val="nil"/>
          <w:between w:val="nil"/>
        </w:pBdr>
        <w:spacing w:after="0"/>
        <w:jc w:val="center"/>
        <w:rPr>
          <w:rFonts w:ascii="Arial" w:eastAsia="Arial" w:hAnsi="Arial" w:cs="Arial"/>
          <w:b/>
          <w:bCs/>
          <w:sz w:val="24"/>
          <w:szCs w:val="24"/>
        </w:rPr>
      </w:pPr>
      <w:r>
        <w:rPr>
          <w:rFonts w:ascii="Arial" w:eastAsia="Arial" w:hAnsi="Arial" w:cs="Arial"/>
          <w:b/>
          <w:bCs/>
          <w:sz w:val="24"/>
          <w:szCs w:val="24"/>
        </w:rPr>
        <w:t>L</w:t>
      </w:r>
      <w:r w:rsidR="00DA0A1F">
        <w:rPr>
          <w:rFonts w:ascii="Arial" w:eastAsia="Arial" w:hAnsi="Arial" w:cs="Arial"/>
          <w:b/>
          <w:bCs/>
          <w:sz w:val="24"/>
          <w:szCs w:val="24"/>
        </w:rPr>
        <w:t>i</w:t>
      </w:r>
      <w:r>
        <w:rPr>
          <w:rFonts w:ascii="Arial" w:eastAsia="Arial" w:hAnsi="Arial" w:cs="Arial"/>
          <w:b/>
          <w:bCs/>
          <w:sz w:val="24"/>
          <w:szCs w:val="24"/>
        </w:rPr>
        <w:t>cda.</w:t>
      </w:r>
      <w:r>
        <w:rPr>
          <w:rFonts w:ascii="Arial" w:eastAsia="Arial" w:hAnsi="Arial" w:cs="Arial"/>
          <w:b/>
          <w:bCs/>
          <w:color w:val="000000"/>
          <w:sz w:val="24"/>
          <w:szCs w:val="24"/>
        </w:rPr>
        <w:t xml:space="preserve"> Perla Guadalupe Vallejo </w:t>
      </w:r>
      <w:r w:rsidR="006A0553">
        <w:rPr>
          <w:rFonts w:ascii="Arial" w:eastAsia="Arial" w:hAnsi="Arial" w:cs="Arial"/>
          <w:b/>
          <w:bCs/>
          <w:color w:val="000000"/>
          <w:sz w:val="24"/>
          <w:szCs w:val="24"/>
        </w:rPr>
        <w:t>Hernández</w:t>
      </w:r>
      <w:r>
        <w:rPr>
          <w:rFonts w:ascii="Arial" w:eastAsia="Arial" w:hAnsi="Arial" w:cs="Arial"/>
          <w:b/>
          <w:bCs/>
          <w:color w:val="000000"/>
          <w:sz w:val="24"/>
          <w:szCs w:val="24"/>
        </w:rPr>
        <w:br/>
      </w:r>
      <w:r>
        <w:rPr>
          <w:rFonts w:ascii="Arial" w:eastAsia="Arial" w:hAnsi="Arial" w:cs="Arial"/>
          <w:sz w:val="24"/>
          <w:szCs w:val="24"/>
        </w:rPr>
        <w:t xml:space="preserve">Secretaria Técnica del Comité Dictaminador y </w:t>
      </w:r>
    </w:p>
    <w:p w:rsidR="00E025E6" w:rsidRDefault="00157320">
      <w:pPr>
        <w:pBdr>
          <w:top w:val="nil"/>
          <w:left w:val="nil"/>
          <w:bottom w:val="nil"/>
          <w:right w:val="nil"/>
          <w:between w:val="nil"/>
        </w:pBdr>
        <w:spacing w:after="0"/>
        <w:jc w:val="center"/>
        <w:rPr>
          <w:rFonts w:ascii="Arial" w:eastAsia="Arial" w:hAnsi="Arial" w:cs="Arial"/>
          <w:b/>
          <w:bCs/>
          <w:color w:val="000000"/>
          <w:sz w:val="24"/>
          <w:szCs w:val="24"/>
        </w:rPr>
      </w:pPr>
      <w:r>
        <w:rPr>
          <w:rFonts w:ascii="Arial" w:eastAsia="Arial" w:hAnsi="Arial" w:cs="Arial"/>
          <w:color w:val="000000"/>
          <w:sz w:val="24"/>
          <w:szCs w:val="24"/>
        </w:rPr>
        <w:t>Jefa del Programa Guadalajara Cuida a las Mujeres</w:t>
      </w:r>
    </w:p>
    <w:p w:rsidR="00E025E6" w:rsidRDefault="00E025E6">
      <w:pPr>
        <w:pBdr>
          <w:top w:val="nil"/>
          <w:left w:val="nil"/>
          <w:bottom w:val="nil"/>
          <w:right w:val="nil"/>
          <w:between w:val="nil"/>
        </w:pBdr>
        <w:jc w:val="center"/>
        <w:rPr>
          <w:rFonts w:ascii="Arial" w:eastAsia="Arial" w:hAnsi="Arial" w:cs="Arial"/>
          <w:b/>
          <w:bCs/>
          <w:color w:val="000000"/>
          <w:sz w:val="24"/>
          <w:szCs w:val="24"/>
        </w:rPr>
      </w:pPr>
    </w:p>
    <w:p w:rsidR="00DA0A1F" w:rsidRDefault="00DA0A1F">
      <w:pPr>
        <w:pBdr>
          <w:top w:val="nil"/>
          <w:left w:val="nil"/>
          <w:bottom w:val="nil"/>
          <w:right w:val="nil"/>
          <w:between w:val="nil"/>
        </w:pBdr>
        <w:jc w:val="center"/>
        <w:rPr>
          <w:rFonts w:ascii="Arial" w:eastAsia="Arial" w:hAnsi="Arial" w:cs="Arial"/>
          <w:b/>
          <w:bCs/>
          <w:color w:val="000000"/>
          <w:sz w:val="24"/>
          <w:szCs w:val="24"/>
        </w:rPr>
      </w:pPr>
    </w:p>
    <w:p w:rsidR="00E025E6" w:rsidRDefault="0015732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sz w:val="24"/>
          <w:szCs w:val="24"/>
        </w:rPr>
        <w:t>L</w:t>
      </w:r>
      <w:r w:rsidR="00DA0A1F">
        <w:rPr>
          <w:rFonts w:ascii="Arial" w:eastAsia="Arial" w:hAnsi="Arial" w:cs="Arial"/>
          <w:b/>
          <w:bCs/>
          <w:sz w:val="24"/>
          <w:szCs w:val="24"/>
        </w:rPr>
        <w:t>i</w:t>
      </w:r>
      <w:r>
        <w:rPr>
          <w:rFonts w:ascii="Arial" w:eastAsia="Arial" w:hAnsi="Arial" w:cs="Arial"/>
          <w:b/>
          <w:bCs/>
          <w:sz w:val="24"/>
          <w:szCs w:val="24"/>
        </w:rPr>
        <w:t>cda.</w:t>
      </w:r>
      <w:r>
        <w:rPr>
          <w:rFonts w:ascii="Arial" w:eastAsia="Arial" w:hAnsi="Arial" w:cs="Arial"/>
          <w:b/>
          <w:bCs/>
          <w:color w:val="000000"/>
          <w:sz w:val="24"/>
          <w:szCs w:val="24"/>
        </w:rPr>
        <w:t xml:space="preserve"> Sandra García Miranda</w:t>
      </w:r>
      <w:r>
        <w:rPr>
          <w:rFonts w:ascii="Arial" w:eastAsia="Arial" w:hAnsi="Arial" w:cs="Arial"/>
          <w:b/>
          <w:bCs/>
          <w:color w:val="000000"/>
          <w:sz w:val="24"/>
          <w:szCs w:val="24"/>
        </w:rPr>
        <w:br/>
      </w:r>
      <w:r>
        <w:rPr>
          <w:rFonts w:ascii="Arial" w:eastAsia="Arial" w:hAnsi="Arial" w:cs="Arial"/>
          <w:color w:val="000000"/>
          <w:sz w:val="24"/>
          <w:szCs w:val="24"/>
        </w:rPr>
        <w:t>Representante de la Tesorería del Municipio de Guadalajara</w:t>
      </w:r>
      <w:r>
        <w:rPr>
          <w:rFonts w:ascii="Arial" w:eastAsia="Arial" w:hAnsi="Arial" w:cs="Arial"/>
          <w:b/>
          <w:bCs/>
          <w:sz w:val="24"/>
          <w:szCs w:val="24"/>
        </w:rPr>
        <w:br/>
      </w:r>
    </w:p>
    <w:p w:rsidR="00DA0A1F" w:rsidRDefault="00DA0A1F">
      <w:pPr>
        <w:pBdr>
          <w:top w:val="nil"/>
          <w:left w:val="nil"/>
          <w:bottom w:val="nil"/>
          <w:right w:val="nil"/>
          <w:between w:val="nil"/>
        </w:pBdr>
        <w:jc w:val="center"/>
        <w:rPr>
          <w:rFonts w:ascii="Arial" w:eastAsia="Arial" w:hAnsi="Arial" w:cs="Arial"/>
          <w:b/>
          <w:bCs/>
          <w:color w:val="000000"/>
          <w:sz w:val="24"/>
          <w:szCs w:val="24"/>
        </w:rPr>
      </w:pPr>
    </w:p>
    <w:p w:rsidR="00E025E6" w:rsidRDefault="0015732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color w:val="000000"/>
          <w:sz w:val="24"/>
          <w:szCs w:val="24"/>
        </w:rPr>
        <w:t>L</w:t>
      </w:r>
      <w:r w:rsidR="00DA0A1F">
        <w:rPr>
          <w:rFonts w:ascii="Arial" w:eastAsia="Arial" w:hAnsi="Arial" w:cs="Arial"/>
          <w:b/>
          <w:bCs/>
          <w:color w:val="000000"/>
          <w:sz w:val="24"/>
          <w:szCs w:val="24"/>
        </w:rPr>
        <w:t>i</w:t>
      </w:r>
      <w:r>
        <w:rPr>
          <w:rFonts w:ascii="Arial" w:eastAsia="Arial" w:hAnsi="Arial" w:cs="Arial"/>
          <w:b/>
          <w:bCs/>
          <w:sz w:val="24"/>
          <w:szCs w:val="24"/>
        </w:rPr>
        <w:t>cda</w:t>
      </w:r>
      <w:r>
        <w:rPr>
          <w:rFonts w:ascii="Arial" w:eastAsia="Arial" w:hAnsi="Arial" w:cs="Arial"/>
          <w:b/>
          <w:bCs/>
          <w:color w:val="000000"/>
          <w:sz w:val="24"/>
          <w:szCs w:val="24"/>
        </w:rPr>
        <w:t>. Lourdes Alejandra González M</w:t>
      </w:r>
      <w:r w:rsidR="006A0553">
        <w:rPr>
          <w:rFonts w:ascii="Arial" w:eastAsia="Arial" w:hAnsi="Arial" w:cs="Arial"/>
          <w:b/>
          <w:bCs/>
          <w:color w:val="000000"/>
          <w:sz w:val="24"/>
          <w:szCs w:val="24"/>
        </w:rPr>
        <w:t>a</w:t>
      </w:r>
      <w:r>
        <w:rPr>
          <w:rFonts w:ascii="Arial" w:eastAsia="Arial" w:hAnsi="Arial" w:cs="Arial"/>
          <w:b/>
          <w:bCs/>
          <w:color w:val="000000"/>
          <w:sz w:val="24"/>
          <w:szCs w:val="24"/>
        </w:rPr>
        <w:t xml:space="preserve">ncillas </w:t>
      </w:r>
      <w:r>
        <w:rPr>
          <w:rFonts w:ascii="Arial" w:eastAsia="Arial" w:hAnsi="Arial" w:cs="Arial"/>
          <w:b/>
          <w:bCs/>
          <w:color w:val="000000"/>
          <w:sz w:val="24"/>
          <w:szCs w:val="24"/>
        </w:rPr>
        <w:br/>
      </w:r>
      <w:r>
        <w:rPr>
          <w:rFonts w:ascii="Arial" w:eastAsia="Arial" w:hAnsi="Arial" w:cs="Arial"/>
          <w:color w:val="000000"/>
          <w:sz w:val="24"/>
          <w:szCs w:val="24"/>
        </w:rPr>
        <w:t>Representante del Sistema para el Desarrollo Integral de la Familia de Guadalajara</w:t>
      </w:r>
    </w:p>
    <w:p w:rsidR="00E025E6" w:rsidRDefault="00E025E6">
      <w:pPr>
        <w:pBdr>
          <w:top w:val="nil"/>
          <w:left w:val="nil"/>
          <w:bottom w:val="nil"/>
          <w:right w:val="nil"/>
          <w:between w:val="nil"/>
        </w:pBdr>
        <w:jc w:val="center"/>
        <w:rPr>
          <w:rFonts w:ascii="Arial" w:eastAsia="Arial" w:hAnsi="Arial" w:cs="Arial"/>
          <w:b/>
          <w:bCs/>
          <w:color w:val="000000"/>
          <w:sz w:val="24"/>
          <w:szCs w:val="24"/>
        </w:rPr>
      </w:pPr>
    </w:p>
    <w:p w:rsidR="00DA0A1F" w:rsidRDefault="00DA0A1F">
      <w:pPr>
        <w:pBdr>
          <w:top w:val="nil"/>
          <w:left w:val="nil"/>
          <w:bottom w:val="nil"/>
          <w:right w:val="nil"/>
          <w:between w:val="nil"/>
        </w:pBdr>
        <w:jc w:val="center"/>
        <w:rPr>
          <w:rFonts w:ascii="Arial" w:eastAsia="Arial" w:hAnsi="Arial" w:cs="Arial"/>
          <w:b/>
          <w:bCs/>
          <w:color w:val="000000"/>
          <w:sz w:val="24"/>
          <w:szCs w:val="24"/>
        </w:rPr>
      </w:pPr>
    </w:p>
    <w:p w:rsidR="00E025E6" w:rsidRDefault="0015732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bCs/>
          <w:sz w:val="24"/>
          <w:szCs w:val="24"/>
        </w:rPr>
        <w:t>L</w:t>
      </w:r>
      <w:r w:rsidR="00DA0A1F">
        <w:rPr>
          <w:rFonts w:ascii="Arial" w:eastAsia="Arial" w:hAnsi="Arial" w:cs="Arial"/>
          <w:b/>
          <w:bCs/>
          <w:sz w:val="24"/>
          <w:szCs w:val="24"/>
        </w:rPr>
        <w:t>i</w:t>
      </w:r>
      <w:r>
        <w:rPr>
          <w:rFonts w:ascii="Arial" w:eastAsia="Arial" w:hAnsi="Arial" w:cs="Arial"/>
          <w:b/>
          <w:bCs/>
          <w:sz w:val="24"/>
          <w:szCs w:val="24"/>
        </w:rPr>
        <w:t>cda.</w:t>
      </w:r>
      <w:r>
        <w:rPr>
          <w:rFonts w:ascii="Arial" w:eastAsia="Arial" w:hAnsi="Arial" w:cs="Arial"/>
          <w:b/>
          <w:bCs/>
          <w:color w:val="000000"/>
          <w:sz w:val="24"/>
          <w:szCs w:val="24"/>
        </w:rPr>
        <w:t xml:space="preserve"> Ivonne Guadalupe Sánchez Tinoco</w:t>
      </w:r>
      <w:r>
        <w:rPr>
          <w:rFonts w:ascii="Arial" w:eastAsia="Arial" w:hAnsi="Arial" w:cs="Arial"/>
          <w:b/>
          <w:bCs/>
          <w:sz w:val="24"/>
          <w:szCs w:val="24"/>
        </w:rPr>
        <w:br/>
      </w:r>
      <w:r>
        <w:rPr>
          <w:rFonts w:ascii="Arial" w:eastAsia="Arial" w:hAnsi="Arial" w:cs="Arial"/>
          <w:color w:val="000000"/>
          <w:sz w:val="24"/>
          <w:szCs w:val="24"/>
        </w:rPr>
        <w:t>Titular del Instituto Municipal de las Mujeres de Guadalajara</w:t>
      </w:r>
    </w:p>
    <w:p w:rsidR="00E025E6" w:rsidRDefault="00E025E6">
      <w:pPr>
        <w:pBdr>
          <w:top w:val="nil"/>
          <w:left w:val="nil"/>
          <w:bottom w:val="nil"/>
          <w:right w:val="nil"/>
          <w:between w:val="nil"/>
        </w:pBdr>
        <w:jc w:val="center"/>
        <w:rPr>
          <w:rFonts w:ascii="Arial" w:eastAsia="Arial" w:hAnsi="Arial" w:cs="Arial"/>
          <w:b/>
          <w:bCs/>
          <w:color w:val="000000"/>
          <w:sz w:val="24"/>
          <w:szCs w:val="24"/>
        </w:rPr>
      </w:pPr>
    </w:p>
    <w:p w:rsidR="00DA0A1F" w:rsidRDefault="00DA0A1F">
      <w:pPr>
        <w:pBdr>
          <w:top w:val="nil"/>
          <w:left w:val="nil"/>
          <w:bottom w:val="nil"/>
          <w:right w:val="nil"/>
          <w:between w:val="nil"/>
        </w:pBdr>
        <w:jc w:val="center"/>
        <w:rPr>
          <w:rFonts w:ascii="Arial" w:eastAsia="Arial" w:hAnsi="Arial" w:cs="Arial"/>
          <w:b/>
          <w:bCs/>
          <w:color w:val="000000"/>
          <w:sz w:val="24"/>
          <w:szCs w:val="24"/>
        </w:rPr>
      </w:pPr>
    </w:p>
    <w:p w:rsidR="00E025E6" w:rsidRDefault="0015732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bCs/>
          <w:color w:val="000000"/>
          <w:sz w:val="24"/>
          <w:szCs w:val="24"/>
        </w:rPr>
        <w:t>L</w:t>
      </w:r>
      <w:r w:rsidR="00DA0A1F">
        <w:rPr>
          <w:rFonts w:ascii="Arial" w:eastAsia="Arial" w:hAnsi="Arial" w:cs="Arial"/>
          <w:b/>
          <w:bCs/>
          <w:color w:val="000000"/>
          <w:sz w:val="24"/>
          <w:szCs w:val="24"/>
        </w:rPr>
        <w:t>i</w:t>
      </w:r>
      <w:r>
        <w:rPr>
          <w:rFonts w:ascii="Arial" w:eastAsia="Arial" w:hAnsi="Arial" w:cs="Arial"/>
          <w:b/>
          <w:bCs/>
          <w:color w:val="000000"/>
          <w:sz w:val="24"/>
          <w:szCs w:val="24"/>
        </w:rPr>
        <w:t>cda. Victoria Guadalupe Alvarado Hernández</w:t>
      </w:r>
      <w:r>
        <w:rPr>
          <w:rFonts w:ascii="Arial" w:eastAsia="Arial" w:hAnsi="Arial" w:cs="Arial"/>
          <w:b/>
          <w:bCs/>
          <w:sz w:val="24"/>
          <w:szCs w:val="24"/>
        </w:rPr>
        <w:br/>
      </w:r>
      <w:r>
        <w:rPr>
          <w:rFonts w:ascii="Arial" w:eastAsia="Arial" w:hAnsi="Arial" w:cs="Arial"/>
          <w:color w:val="000000"/>
          <w:sz w:val="24"/>
          <w:szCs w:val="24"/>
        </w:rPr>
        <w:t>Representante de la Contraloría Ciudadana</w:t>
      </w:r>
    </w:p>
    <w:p w:rsidR="00E025E6" w:rsidRPr="00DA0A1F" w:rsidRDefault="00157320">
      <w:pPr>
        <w:pBdr>
          <w:top w:val="nil"/>
          <w:left w:val="nil"/>
          <w:bottom w:val="nil"/>
          <w:right w:val="nil"/>
          <w:between w:val="nil"/>
        </w:pBdr>
        <w:jc w:val="both"/>
        <w:rPr>
          <w:rFonts w:ascii="Arial" w:eastAsia="Arial" w:hAnsi="Arial" w:cs="Arial"/>
          <w:i/>
          <w:iCs/>
          <w:color w:val="000000"/>
          <w:sz w:val="20"/>
          <w:szCs w:val="20"/>
        </w:rPr>
      </w:pPr>
      <w:r w:rsidRPr="00DA0A1F">
        <w:rPr>
          <w:rFonts w:ascii="Arial" w:eastAsia="Arial" w:hAnsi="Arial" w:cs="Arial"/>
          <w:i/>
          <w:iCs/>
          <w:color w:val="000000"/>
          <w:sz w:val="20"/>
          <w:szCs w:val="20"/>
        </w:rPr>
        <w:t xml:space="preserve">La presente hoja de firmas pertenece a la </w:t>
      </w:r>
      <w:r w:rsidRPr="00DA0A1F">
        <w:rPr>
          <w:rFonts w:ascii="Arial" w:eastAsia="Arial" w:hAnsi="Arial" w:cs="Arial"/>
          <w:i/>
          <w:iCs/>
          <w:sz w:val="20"/>
          <w:szCs w:val="20"/>
        </w:rPr>
        <w:t>P</w:t>
      </w:r>
      <w:r w:rsidRPr="00DA0A1F">
        <w:rPr>
          <w:rFonts w:ascii="Arial" w:eastAsia="Arial" w:hAnsi="Arial" w:cs="Arial"/>
          <w:i/>
          <w:iCs/>
          <w:color w:val="000000"/>
          <w:sz w:val="20"/>
          <w:szCs w:val="20"/>
        </w:rPr>
        <w:t xml:space="preserve">rimera </w:t>
      </w:r>
      <w:r w:rsidRPr="00DA0A1F">
        <w:rPr>
          <w:rFonts w:ascii="Arial" w:eastAsia="Arial" w:hAnsi="Arial" w:cs="Arial"/>
          <w:i/>
          <w:iCs/>
          <w:sz w:val="20"/>
          <w:szCs w:val="20"/>
        </w:rPr>
        <w:t>S</w:t>
      </w:r>
      <w:r w:rsidRPr="00DA0A1F">
        <w:rPr>
          <w:rFonts w:ascii="Arial" w:eastAsia="Arial" w:hAnsi="Arial" w:cs="Arial"/>
          <w:i/>
          <w:iCs/>
          <w:color w:val="000000"/>
          <w:sz w:val="20"/>
          <w:szCs w:val="20"/>
        </w:rPr>
        <w:t xml:space="preserve">esión </w:t>
      </w:r>
      <w:r w:rsidRPr="00DA0A1F">
        <w:rPr>
          <w:rFonts w:ascii="Arial" w:eastAsia="Arial" w:hAnsi="Arial" w:cs="Arial"/>
          <w:i/>
          <w:iCs/>
          <w:sz w:val="20"/>
          <w:szCs w:val="20"/>
        </w:rPr>
        <w:t>Extrao</w:t>
      </w:r>
      <w:r w:rsidRPr="00DA0A1F">
        <w:rPr>
          <w:rFonts w:ascii="Arial" w:eastAsia="Arial" w:hAnsi="Arial" w:cs="Arial"/>
          <w:i/>
          <w:iCs/>
          <w:color w:val="000000"/>
          <w:sz w:val="20"/>
          <w:szCs w:val="20"/>
        </w:rPr>
        <w:t xml:space="preserve">rdinaria del </w:t>
      </w:r>
      <w:r w:rsidRPr="00DA0A1F">
        <w:rPr>
          <w:rFonts w:ascii="Arial" w:eastAsia="Arial" w:hAnsi="Arial" w:cs="Arial"/>
          <w:i/>
          <w:iCs/>
          <w:sz w:val="20"/>
          <w:szCs w:val="20"/>
        </w:rPr>
        <w:t>P</w:t>
      </w:r>
      <w:r w:rsidRPr="00DA0A1F">
        <w:rPr>
          <w:rFonts w:ascii="Arial" w:eastAsia="Arial" w:hAnsi="Arial" w:cs="Arial"/>
          <w:i/>
          <w:iCs/>
          <w:color w:val="000000"/>
          <w:sz w:val="20"/>
          <w:szCs w:val="20"/>
        </w:rPr>
        <w:t>rograma “Guadalajara Cuida a las Mujeres” ejercicio 2026, celebrada a los 27 días del mes de abril de 2026, cons</w:t>
      </w:r>
      <w:r w:rsidR="00DA0A1F">
        <w:rPr>
          <w:rFonts w:ascii="Arial" w:eastAsia="Arial" w:hAnsi="Arial" w:cs="Arial"/>
          <w:i/>
          <w:iCs/>
          <w:sz w:val="20"/>
          <w:szCs w:val="20"/>
        </w:rPr>
        <w:t>istente en 17</w:t>
      </w:r>
      <w:r w:rsidRPr="00DA0A1F">
        <w:rPr>
          <w:rFonts w:ascii="Arial" w:eastAsia="Arial" w:hAnsi="Arial" w:cs="Arial"/>
          <w:i/>
          <w:iCs/>
          <w:sz w:val="20"/>
          <w:szCs w:val="20"/>
        </w:rPr>
        <w:t xml:space="preserve"> fojas tama</w:t>
      </w:r>
      <w:r w:rsidR="00DA0A1F">
        <w:rPr>
          <w:rFonts w:ascii="Arial" w:eastAsia="Arial" w:hAnsi="Arial" w:cs="Arial"/>
          <w:i/>
          <w:iCs/>
          <w:sz w:val="20"/>
          <w:szCs w:val="20"/>
        </w:rPr>
        <w:t>ño carta válidas solo por el anverso</w:t>
      </w:r>
      <w:r w:rsidRPr="00DA0A1F">
        <w:rPr>
          <w:rFonts w:ascii="Arial" w:eastAsia="Arial" w:hAnsi="Arial" w:cs="Arial"/>
          <w:i/>
          <w:iCs/>
          <w:sz w:val="20"/>
          <w:szCs w:val="20"/>
        </w:rPr>
        <w:t>.</w:t>
      </w:r>
    </w:p>
    <w:sectPr w:rsidR="00E025E6" w:rsidRPr="00DA0A1F" w:rsidSect="006A0553">
      <w:headerReference w:type="even" r:id="rId9"/>
      <w:headerReference w:type="default" r:id="rId10"/>
      <w:footerReference w:type="even" r:id="rId11"/>
      <w:footerReference w:type="default" r:id="rId12"/>
      <w:headerReference w:type="first" r:id="rId13"/>
      <w:footerReference w:type="first" r:id="rId14"/>
      <w:pgSz w:w="12240" w:h="18720"/>
      <w:pgMar w:top="1571" w:right="720" w:bottom="2410" w:left="85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AC9" w:rsidRDefault="00B76AC9">
      <w:pPr>
        <w:spacing w:after="0" w:line="240" w:lineRule="auto"/>
      </w:pPr>
      <w:r>
        <w:separator/>
      </w:r>
    </w:p>
  </w:endnote>
  <w:endnote w:type="continuationSeparator" w:id="0">
    <w:p w:rsidR="00B76AC9" w:rsidRDefault="00B76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EB2CCA-7A35-429C-BF0D-84D5E96F09D4}"/>
    <w:embedBold r:id="rId2" w:fontKey="{BF454EC0-4B75-4A17-B585-10A09585A8A0}"/>
  </w:font>
  <w:font w:name="Georgia">
    <w:panose1 w:val="02040502050405020303"/>
    <w:charset w:val="00"/>
    <w:family w:val="roman"/>
    <w:pitch w:val="variable"/>
    <w:sig w:usb0="00000287" w:usb1="00000000" w:usb2="00000000" w:usb3="00000000" w:csb0="0000009F" w:csb1="00000000"/>
    <w:embedItalic r:id="rId3" w:fontKey="{B2236C0D-06A1-4BCE-8AED-C09EC1270D5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1F787A6-2F23-4514-8E81-0C3B2267C7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5E6" w:rsidRDefault="00E025E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5E6" w:rsidRDefault="00157320">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267C8F">
      <w:rPr>
        <w:noProof/>
        <w:color w:val="000000"/>
      </w:rPr>
      <w:t>1</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267C8F">
      <w:rPr>
        <w:noProof/>
        <w:color w:val="000000"/>
      </w:rPr>
      <w:t>17</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5E6" w:rsidRDefault="00157320">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AC9" w:rsidRDefault="00B76AC9">
      <w:pPr>
        <w:spacing w:after="0" w:line="240" w:lineRule="auto"/>
      </w:pPr>
      <w:r>
        <w:separator/>
      </w:r>
    </w:p>
  </w:footnote>
  <w:footnote w:type="continuationSeparator" w:id="0">
    <w:p w:rsidR="00B76AC9" w:rsidRDefault="00B76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5E6" w:rsidRDefault="00E025E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5E6" w:rsidRDefault="00B76AC9">
    <w:pPr>
      <w:pBdr>
        <w:top w:val="nil"/>
        <w:left w:val="nil"/>
        <w:bottom w:val="nil"/>
        <w:right w:val="nil"/>
        <w:between w:val="nil"/>
      </w:pBdr>
      <w:tabs>
        <w:tab w:val="left" w:pos="111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42pt;margin-top:-133.75pt;width:637.5pt;height:973.4pt;z-index:-25165875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5E6" w:rsidRDefault="00E025E6">
    <w:pPr>
      <w:pBdr>
        <w:top w:val="nil"/>
        <w:left w:val="nil"/>
        <w:bottom w:val="nil"/>
        <w:right w:val="nil"/>
        <w:between w:val="nil"/>
      </w:pBdr>
      <w:tabs>
        <w:tab w:val="left" w:pos="1110"/>
      </w:tabs>
      <w:spacing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A3069"/>
    <w:multiLevelType w:val="multilevel"/>
    <w:tmpl w:val="EC9CB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E025E6"/>
    <w:rsid w:val="00157320"/>
    <w:rsid w:val="00267C8F"/>
    <w:rsid w:val="006A0553"/>
    <w:rsid w:val="00B76AC9"/>
    <w:rsid w:val="00DA0A1F"/>
    <w:rsid w:val="00E025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480" w:after="120" w:line="240" w:lineRule="auto"/>
      <w:outlineLvl w:val="0"/>
    </w:pPr>
    <w:rPr>
      <w:b/>
      <w:bCs/>
      <w:color w:val="000000"/>
      <w:sz w:val="48"/>
      <w:szCs w:val="48"/>
    </w:rPr>
  </w:style>
  <w:style w:type="paragraph" w:styleId="Ttulo2">
    <w:name w:val="heading 2"/>
    <w:basedOn w:val="Normal"/>
    <w:next w:val="Normal"/>
    <w:pPr>
      <w:keepNext/>
      <w:keepLines/>
      <w:pBdr>
        <w:top w:val="nil"/>
        <w:left w:val="nil"/>
        <w:bottom w:val="nil"/>
        <w:right w:val="nil"/>
        <w:between w:val="nil"/>
      </w:pBdr>
      <w:spacing w:before="360" w:after="80" w:line="240" w:lineRule="auto"/>
      <w:outlineLvl w:val="1"/>
    </w:pPr>
    <w:rPr>
      <w:b/>
      <w:bCs/>
      <w:color w:val="000000"/>
      <w:sz w:val="36"/>
      <w:szCs w:val="36"/>
    </w:rPr>
  </w:style>
  <w:style w:type="paragraph" w:styleId="Ttulo3">
    <w:name w:val="heading 3"/>
    <w:basedOn w:val="Normal"/>
    <w:next w:val="Normal"/>
    <w:pPr>
      <w:keepNext/>
      <w:keepLines/>
      <w:pBdr>
        <w:top w:val="nil"/>
        <w:left w:val="nil"/>
        <w:bottom w:val="nil"/>
        <w:right w:val="nil"/>
        <w:between w:val="nil"/>
      </w:pBdr>
      <w:spacing w:before="280" w:after="80" w:line="240" w:lineRule="auto"/>
      <w:outlineLvl w:val="2"/>
    </w:pPr>
    <w:rPr>
      <w:b/>
      <w:bCs/>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line="240" w:lineRule="auto"/>
      <w:outlineLvl w:val="3"/>
    </w:pPr>
    <w:rPr>
      <w:b/>
      <w:bCs/>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line="240" w:lineRule="auto"/>
      <w:outlineLvl w:val="4"/>
    </w:pPr>
    <w:rPr>
      <w:b/>
      <w:bCs/>
      <w:color w:val="000000"/>
    </w:rPr>
  </w:style>
  <w:style w:type="paragraph" w:styleId="Ttulo6">
    <w:name w:val="heading 6"/>
    <w:basedOn w:val="Normal"/>
    <w:next w:val="Normal"/>
    <w:pPr>
      <w:keepNext/>
      <w:keepLines/>
      <w:pBdr>
        <w:top w:val="nil"/>
        <w:left w:val="nil"/>
        <w:bottom w:val="nil"/>
        <w:right w:val="nil"/>
        <w:between w:val="nil"/>
      </w:pBdr>
      <w:spacing w:before="200" w:after="40" w:line="240" w:lineRule="auto"/>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pBdr>
        <w:top w:val="nil"/>
        <w:left w:val="nil"/>
        <w:bottom w:val="nil"/>
        <w:right w:val="nil"/>
        <w:between w:val="nil"/>
      </w:pBdr>
      <w:spacing w:before="480" w:after="120" w:line="240" w:lineRule="auto"/>
    </w:pPr>
    <w:rPr>
      <w:b/>
      <w:bCs/>
      <w:color w:val="000000"/>
      <w:sz w:val="72"/>
      <w:szCs w:val="72"/>
    </w:rPr>
  </w:style>
  <w:style w:type="paragraph" w:styleId="Subttulo">
    <w:name w:val="Subtitle"/>
    <w:basedOn w:val="Normal"/>
    <w:next w:val="Normal"/>
    <w:pPr>
      <w:keepNext/>
      <w:keepLines/>
      <w:pBdr>
        <w:top w:val="nil"/>
        <w:left w:val="nil"/>
        <w:bottom w:val="nil"/>
        <w:right w:val="nil"/>
        <w:between w:val="nil"/>
      </w:pBdr>
      <w:spacing w:before="360" w:after="80" w:line="240" w:lineRule="auto"/>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480" w:after="120" w:line="240" w:lineRule="auto"/>
      <w:outlineLvl w:val="0"/>
    </w:pPr>
    <w:rPr>
      <w:b/>
      <w:bCs/>
      <w:color w:val="000000"/>
      <w:sz w:val="48"/>
      <w:szCs w:val="48"/>
    </w:rPr>
  </w:style>
  <w:style w:type="paragraph" w:styleId="Ttulo2">
    <w:name w:val="heading 2"/>
    <w:basedOn w:val="Normal"/>
    <w:next w:val="Normal"/>
    <w:pPr>
      <w:keepNext/>
      <w:keepLines/>
      <w:pBdr>
        <w:top w:val="nil"/>
        <w:left w:val="nil"/>
        <w:bottom w:val="nil"/>
        <w:right w:val="nil"/>
        <w:between w:val="nil"/>
      </w:pBdr>
      <w:spacing w:before="360" w:after="80" w:line="240" w:lineRule="auto"/>
      <w:outlineLvl w:val="1"/>
    </w:pPr>
    <w:rPr>
      <w:b/>
      <w:bCs/>
      <w:color w:val="000000"/>
      <w:sz w:val="36"/>
      <w:szCs w:val="36"/>
    </w:rPr>
  </w:style>
  <w:style w:type="paragraph" w:styleId="Ttulo3">
    <w:name w:val="heading 3"/>
    <w:basedOn w:val="Normal"/>
    <w:next w:val="Normal"/>
    <w:pPr>
      <w:keepNext/>
      <w:keepLines/>
      <w:pBdr>
        <w:top w:val="nil"/>
        <w:left w:val="nil"/>
        <w:bottom w:val="nil"/>
        <w:right w:val="nil"/>
        <w:between w:val="nil"/>
      </w:pBdr>
      <w:spacing w:before="280" w:after="80" w:line="240" w:lineRule="auto"/>
      <w:outlineLvl w:val="2"/>
    </w:pPr>
    <w:rPr>
      <w:b/>
      <w:bCs/>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line="240" w:lineRule="auto"/>
      <w:outlineLvl w:val="3"/>
    </w:pPr>
    <w:rPr>
      <w:b/>
      <w:bCs/>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line="240" w:lineRule="auto"/>
      <w:outlineLvl w:val="4"/>
    </w:pPr>
    <w:rPr>
      <w:b/>
      <w:bCs/>
      <w:color w:val="000000"/>
    </w:rPr>
  </w:style>
  <w:style w:type="paragraph" w:styleId="Ttulo6">
    <w:name w:val="heading 6"/>
    <w:basedOn w:val="Normal"/>
    <w:next w:val="Normal"/>
    <w:pPr>
      <w:keepNext/>
      <w:keepLines/>
      <w:pBdr>
        <w:top w:val="nil"/>
        <w:left w:val="nil"/>
        <w:bottom w:val="nil"/>
        <w:right w:val="nil"/>
        <w:between w:val="nil"/>
      </w:pBdr>
      <w:spacing w:before="200" w:after="40" w:line="240" w:lineRule="auto"/>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pBdr>
        <w:top w:val="nil"/>
        <w:left w:val="nil"/>
        <w:bottom w:val="nil"/>
        <w:right w:val="nil"/>
        <w:between w:val="nil"/>
      </w:pBdr>
      <w:spacing w:before="480" w:after="120" w:line="240" w:lineRule="auto"/>
    </w:pPr>
    <w:rPr>
      <w:b/>
      <w:bCs/>
      <w:color w:val="000000"/>
      <w:sz w:val="72"/>
      <w:szCs w:val="72"/>
    </w:rPr>
  </w:style>
  <w:style w:type="paragraph" w:styleId="Subttulo">
    <w:name w:val="Subtitle"/>
    <w:basedOn w:val="Normal"/>
    <w:next w:val="Normal"/>
    <w:pPr>
      <w:keepNext/>
      <w:keepLines/>
      <w:pBdr>
        <w:top w:val="nil"/>
        <w:left w:val="nil"/>
        <w:bottom w:val="nil"/>
        <w:right w:val="nil"/>
        <w:between w:val="nil"/>
      </w:pBdr>
      <w:spacing w:before="360" w:after="80" w:line="240" w:lineRule="auto"/>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w/KAdFfUVcxswZv3ppbXdXroQ==">CgMxLjA4AHIhMUFheG9FZHg2THJ3cUw0NXZOdWhINWR6bGVQUjFyeF9j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7767</Words>
  <Characters>42720</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2</cp:revision>
  <dcterms:created xsi:type="dcterms:W3CDTF">2026-05-21T19:27:00Z</dcterms:created>
  <dcterms:modified xsi:type="dcterms:W3CDTF">2026-05-21T19:27:00Z</dcterms:modified>
</cp:coreProperties>
</file>